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5A" w:rsidRDefault="00CE0AA4">
      <w:pPr>
        <w:spacing w:before="48" w:after="48" w:line="400" w:lineRule="exact"/>
        <w:ind w:right="105" w:firstLine="708"/>
        <w:jc w:val="center"/>
        <w:rPr>
          <w:rFonts w:ascii="黑体" w:eastAsia="黑体" w:hAnsi="黑体"/>
          <w:sz w:val="32"/>
          <w:szCs w:val="32"/>
        </w:rPr>
      </w:pPr>
      <w:r>
        <w:rPr>
          <w:rFonts w:ascii="黑体" w:eastAsia="黑体" w:hAnsi="黑体"/>
          <w:sz w:val="32"/>
          <w:szCs w:val="32"/>
        </w:rPr>
        <w:t>不动产估价委托合同</w:t>
      </w:r>
    </w:p>
    <w:p w:rsidR="001A645A" w:rsidRDefault="00CE0AA4">
      <w:pPr>
        <w:spacing w:before="48" w:after="48" w:line="400" w:lineRule="exact"/>
        <w:jc w:val="right"/>
        <w:rPr>
          <w:rFonts w:ascii="黑体" w:eastAsia="黑体" w:hAnsi="黑体"/>
        </w:rPr>
      </w:pPr>
      <w:r>
        <w:rPr>
          <w:rFonts w:ascii="黑体" w:eastAsia="黑体" w:hAnsi="黑体"/>
        </w:rPr>
        <w:t>康正合字[201  ]    号</w:t>
      </w:r>
    </w:p>
    <w:p w:rsidR="001A645A" w:rsidRDefault="001A645A">
      <w:pPr>
        <w:spacing w:before="48" w:after="48" w:line="400" w:lineRule="exact"/>
        <w:jc w:val="right"/>
        <w:rPr>
          <w:rFonts w:ascii="黑体" w:eastAsia="黑体" w:hAnsi="黑体"/>
        </w:rPr>
      </w:pPr>
    </w:p>
    <w:p w:rsidR="001A645A" w:rsidRPr="00916970" w:rsidRDefault="00CE0AA4" w:rsidP="00916970">
      <w:pPr>
        <w:spacing w:before="48" w:after="48" w:line="480" w:lineRule="auto"/>
        <w:ind w:firstLine="482"/>
        <w:rPr>
          <w:rFonts w:ascii="宋体" w:eastAsia="宋体" w:hAnsi="宋体"/>
          <w:b/>
          <w:sz w:val="24"/>
          <w:szCs w:val="24"/>
        </w:rPr>
      </w:pPr>
      <w:r>
        <w:rPr>
          <w:rFonts w:ascii="宋体" w:eastAsia="宋体" w:hAnsi="宋体"/>
          <w:b/>
          <w:sz w:val="24"/>
          <w:szCs w:val="24"/>
        </w:rPr>
        <w:t>甲方（委托方）：</w:t>
      </w:r>
      <w:r w:rsidRPr="00916970">
        <w:rPr>
          <w:rFonts w:ascii="宋体" w:eastAsia="宋体" w:hAnsi="宋体"/>
          <w:b/>
          <w:sz w:val="24"/>
          <w:szCs w:val="24"/>
          <w:u w:val="single"/>
        </w:rPr>
        <w:t xml:space="preserve"> 昆明恒海房地产开发有限公司</w:t>
      </w:r>
      <w:r w:rsidR="00916970" w:rsidRPr="00916970">
        <w:rPr>
          <w:rFonts w:ascii="宋体" w:eastAsia="宋体" w:hAnsi="宋体" w:hint="eastAsia"/>
          <w:b/>
          <w:sz w:val="24"/>
          <w:szCs w:val="24"/>
          <w:u w:val="single"/>
        </w:rPr>
        <w:t xml:space="preserve">        </w:t>
      </w:r>
      <w:r w:rsidR="00916970" w:rsidRPr="00916970">
        <w:rPr>
          <w:rFonts w:ascii="宋体" w:eastAsia="宋体" w:hAnsi="宋体"/>
          <w:b/>
          <w:sz w:val="24"/>
          <w:szCs w:val="24"/>
          <w:u w:val="single"/>
        </w:rPr>
        <w:t xml:space="preserve"> </w:t>
      </w:r>
    </w:p>
    <w:p w:rsidR="001A645A" w:rsidRDefault="001A645A">
      <w:pPr>
        <w:wordWrap w:val="0"/>
        <w:jc w:val="center"/>
        <w:rPr>
          <w:rFonts w:ascii="宋体"/>
          <w:sz w:val="24"/>
          <w:szCs w:val="24"/>
          <w:u w:val="single"/>
        </w:rPr>
      </w:pPr>
    </w:p>
    <w:p w:rsidR="001A645A" w:rsidRDefault="00CE0AA4">
      <w:pPr>
        <w:spacing w:before="48" w:after="48" w:line="480" w:lineRule="auto"/>
        <w:ind w:firstLine="482"/>
        <w:rPr>
          <w:rFonts w:ascii="宋体"/>
          <w:b/>
          <w:sz w:val="24"/>
          <w:szCs w:val="24"/>
          <w:u w:val="single"/>
        </w:rPr>
      </w:pPr>
      <w:r>
        <w:rPr>
          <w:rFonts w:ascii="宋体" w:eastAsia="宋体" w:hAnsi="宋体"/>
          <w:b/>
          <w:sz w:val="24"/>
          <w:szCs w:val="24"/>
        </w:rPr>
        <w:t>乙方（受托方）</w:t>
      </w:r>
      <w:r>
        <w:rPr>
          <w:rFonts w:ascii="宋体" w:eastAsia="宋体" w:hAnsi="宋体"/>
          <w:sz w:val="24"/>
          <w:szCs w:val="24"/>
        </w:rPr>
        <w:t>：</w:t>
      </w:r>
      <w:r w:rsidR="00916970">
        <w:rPr>
          <w:rFonts w:ascii="宋体" w:eastAsia="宋体" w:hAnsi="宋体"/>
          <w:sz w:val="24"/>
          <w:szCs w:val="24"/>
          <w:u w:val="single"/>
        </w:rPr>
        <w:t xml:space="preserve"> </w:t>
      </w:r>
      <w:r>
        <w:rPr>
          <w:rFonts w:ascii="宋体" w:eastAsia="宋体" w:hAnsi="宋体"/>
          <w:b/>
          <w:sz w:val="24"/>
          <w:szCs w:val="24"/>
          <w:u w:val="single"/>
        </w:rPr>
        <w:t xml:space="preserve">北京康正宏基房地产评估有限公司  </w:t>
      </w:r>
      <w:r w:rsidR="00916970">
        <w:rPr>
          <w:rFonts w:ascii="宋体" w:eastAsia="宋体" w:hAnsi="宋体"/>
          <w:sz w:val="24"/>
          <w:szCs w:val="24"/>
          <w:u w:val="single"/>
        </w:rPr>
        <w:t xml:space="preserve">   </w:t>
      </w:r>
    </w:p>
    <w:p w:rsidR="001A645A" w:rsidRDefault="001A645A">
      <w:pPr>
        <w:spacing w:after="160" w:line="400" w:lineRule="exact"/>
        <w:ind w:firstLine="480"/>
        <w:rPr>
          <w:rFonts w:ascii="宋体"/>
          <w:sz w:val="24"/>
          <w:szCs w:val="24"/>
        </w:rPr>
      </w:pPr>
    </w:p>
    <w:p w:rsidR="001A645A" w:rsidRDefault="00CE0AA4">
      <w:pPr>
        <w:spacing w:after="160" w:line="360" w:lineRule="auto"/>
        <w:ind w:firstLine="480"/>
        <w:rPr>
          <w:rFonts w:ascii="宋体" w:eastAsia="宋体" w:hAnsi="宋体"/>
          <w:sz w:val="24"/>
          <w:szCs w:val="24"/>
        </w:rPr>
      </w:pPr>
      <w:r>
        <w:rPr>
          <w:rFonts w:ascii="宋体" w:eastAsia="宋体" w:hAnsi="宋体"/>
          <w:sz w:val="24"/>
          <w:szCs w:val="24"/>
        </w:rPr>
        <w:t>依照《中华人民共和国合同法》、《中华人民共和国资产评估法》等法律、行政法规，经双方平等协商，特订立本合同，以资共同信守。</w:t>
      </w:r>
    </w:p>
    <w:p w:rsidR="001A645A" w:rsidRDefault="001A645A">
      <w:pPr>
        <w:spacing w:after="160" w:line="360" w:lineRule="auto"/>
        <w:ind w:firstLine="480"/>
        <w:rPr>
          <w:rFonts w:ascii="宋体"/>
          <w:sz w:val="24"/>
          <w:szCs w:val="24"/>
        </w:rPr>
      </w:pPr>
    </w:p>
    <w:p w:rsidR="001A645A" w:rsidRDefault="00CE0AA4">
      <w:pPr>
        <w:spacing w:after="48" w:line="480" w:lineRule="auto"/>
        <w:ind w:firstLine="482"/>
        <w:rPr>
          <w:rFonts w:ascii="宋体" w:eastAsia="宋体" w:hAnsi="宋体" w:hint="eastAsia"/>
          <w:b/>
          <w:sz w:val="24"/>
          <w:szCs w:val="24"/>
          <w:u w:val="single"/>
        </w:rPr>
      </w:pPr>
      <w:r>
        <w:rPr>
          <w:rFonts w:ascii="宋体" w:eastAsia="宋体" w:hAnsi="宋体"/>
          <w:b/>
          <w:sz w:val="24"/>
          <w:szCs w:val="24"/>
        </w:rPr>
        <w:t>一、委托估价项目名称：</w:t>
      </w:r>
      <w:r w:rsidR="00E066E7" w:rsidRPr="00E066E7">
        <w:rPr>
          <w:rFonts w:ascii="宋体" w:eastAsia="宋体" w:hAnsi="宋体" w:hint="eastAsia"/>
          <w:b/>
          <w:sz w:val="24"/>
          <w:szCs w:val="24"/>
          <w:u w:val="single"/>
        </w:rPr>
        <w:t>云南省昆明市官渡区官渡街道办事处（不动产单元号：</w:t>
      </w:r>
      <w:r w:rsidR="00E066E7" w:rsidRPr="00E066E7">
        <w:rPr>
          <w:rFonts w:ascii="宋体" w:eastAsia="宋体" w:hAnsi="宋体"/>
          <w:b/>
          <w:sz w:val="24"/>
          <w:szCs w:val="24"/>
          <w:u w:val="single"/>
        </w:rPr>
        <w:t>530111006003GB00028W00000000</w:t>
      </w:r>
      <w:r w:rsidR="00E066E7" w:rsidRPr="00E066E7">
        <w:rPr>
          <w:rFonts w:ascii="宋体" w:eastAsia="宋体" w:hAnsi="宋体" w:hint="eastAsia"/>
          <w:b/>
          <w:sz w:val="24"/>
          <w:szCs w:val="24"/>
          <w:u w:val="single"/>
        </w:rPr>
        <w:t>号）等</w:t>
      </w:r>
      <w:r w:rsidR="00E066E7" w:rsidRPr="00E066E7">
        <w:rPr>
          <w:rFonts w:ascii="宋体" w:eastAsia="宋体" w:hAnsi="宋体"/>
          <w:b/>
          <w:sz w:val="24"/>
          <w:szCs w:val="24"/>
          <w:u w:val="single"/>
        </w:rPr>
        <w:t>3</w:t>
      </w:r>
      <w:r w:rsidR="00E066E7" w:rsidRPr="00E066E7">
        <w:rPr>
          <w:rFonts w:ascii="宋体" w:eastAsia="宋体" w:hAnsi="宋体" w:hint="eastAsia"/>
          <w:b/>
          <w:sz w:val="24"/>
          <w:szCs w:val="24"/>
          <w:u w:val="single"/>
        </w:rPr>
        <w:t>宗住宅、商业、地下车库用地出让国有建设用地使用权</w:t>
      </w:r>
      <w:r w:rsidR="00E066E7">
        <w:rPr>
          <w:rFonts w:ascii="宋体" w:eastAsia="宋体" w:hAnsi="宋体" w:hint="eastAsia"/>
          <w:b/>
          <w:sz w:val="24"/>
          <w:szCs w:val="24"/>
          <w:u w:val="single"/>
        </w:rPr>
        <w:t>。</w:t>
      </w:r>
    </w:p>
    <w:p w:rsidR="00E066E7" w:rsidRPr="00E066E7" w:rsidRDefault="00E066E7">
      <w:pPr>
        <w:spacing w:after="48" w:line="480" w:lineRule="auto"/>
        <w:ind w:firstLine="482"/>
        <w:rPr>
          <w:rFonts w:ascii="宋体"/>
          <w:b/>
          <w:sz w:val="24"/>
          <w:szCs w:val="24"/>
        </w:rPr>
      </w:pPr>
    </w:p>
    <w:p w:rsidR="001A645A" w:rsidRDefault="00CE0AA4">
      <w:pPr>
        <w:spacing w:before="48" w:after="48" w:line="480" w:lineRule="auto"/>
        <w:ind w:firstLine="482"/>
        <w:rPr>
          <w:rFonts w:ascii="宋体" w:eastAsia="宋体" w:hAnsi="宋体"/>
          <w:b/>
          <w:sz w:val="24"/>
          <w:szCs w:val="24"/>
          <w:u w:val="single"/>
        </w:rPr>
      </w:pPr>
      <w:r>
        <w:rPr>
          <w:rFonts w:ascii="宋体" w:eastAsia="宋体" w:hAnsi="宋体"/>
          <w:b/>
          <w:sz w:val="24"/>
          <w:szCs w:val="24"/>
        </w:rPr>
        <w:t>二、估价目的</w:t>
      </w:r>
      <w:r>
        <w:rPr>
          <w:rFonts w:ascii="宋体" w:eastAsia="宋体" w:hAnsi="宋体"/>
          <w:sz w:val="24"/>
          <w:szCs w:val="24"/>
        </w:rPr>
        <w:t>：</w:t>
      </w:r>
      <w:r>
        <w:rPr>
          <w:rFonts w:ascii="宋体" w:eastAsia="宋体" w:hAnsi="宋体"/>
          <w:b/>
          <w:sz w:val="24"/>
          <w:szCs w:val="24"/>
          <w:u w:val="single"/>
        </w:rPr>
        <w:t xml:space="preserve"> 抵押贷款  </w:t>
      </w:r>
    </w:p>
    <w:p w:rsidR="00916970" w:rsidRDefault="00916970">
      <w:pPr>
        <w:spacing w:before="48" w:after="48" w:line="480" w:lineRule="auto"/>
        <w:ind w:firstLine="482"/>
        <w:rPr>
          <w:rFonts w:ascii="宋体" w:eastAsia="宋体" w:hAnsi="宋体"/>
          <w:b/>
          <w:sz w:val="24"/>
          <w:szCs w:val="24"/>
          <w:u w:val="single"/>
        </w:rPr>
      </w:pPr>
    </w:p>
    <w:p w:rsidR="001A645A" w:rsidRDefault="00CE0AA4">
      <w:pPr>
        <w:pStyle w:val="21"/>
        <w:spacing w:before="48" w:after="48" w:line="480" w:lineRule="auto"/>
        <w:ind w:firstLine="482"/>
        <w:rPr>
          <w:b w:val="0"/>
          <w:u w:val="single"/>
        </w:rPr>
      </w:pPr>
      <w:r>
        <w:t>三、估价对象和估价范围（或见附件）：</w:t>
      </w:r>
      <w:r w:rsidR="00E066E7" w:rsidRPr="00E066E7">
        <w:rPr>
          <w:rFonts w:hint="eastAsia"/>
          <w:b w:val="0"/>
          <w:u w:val="single"/>
        </w:rPr>
        <w:t>云南省昆明市官渡区官渡街道办事处（不动产单元号：</w:t>
      </w:r>
      <w:r w:rsidR="00E066E7" w:rsidRPr="00E066E7">
        <w:rPr>
          <w:b w:val="0"/>
          <w:u w:val="single"/>
        </w:rPr>
        <w:t>530111006003GB00028W00000000</w:t>
      </w:r>
      <w:r w:rsidR="00E066E7" w:rsidRPr="00E066E7">
        <w:rPr>
          <w:rFonts w:hint="eastAsia"/>
          <w:b w:val="0"/>
          <w:u w:val="single"/>
        </w:rPr>
        <w:t>号）等</w:t>
      </w:r>
      <w:r w:rsidR="00E066E7" w:rsidRPr="00E066E7">
        <w:rPr>
          <w:b w:val="0"/>
          <w:u w:val="single"/>
        </w:rPr>
        <w:t>3</w:t>
      </w:r>
      <w:r w:rsidR="00E066E7" w:rsidRPr="00E066E7">
        <w:rPr>
          <w:rFonts w:hint="eastAsia"/>
          <w:b w:val="0"/>
          <w:u w:val="single"/>
        </w:rPr>
        <w:t>宗住宅、商业、地下车库用地出让国有建设用地使用权</w:t>
      </w:r>
      <w:r w:rsidR="00916970">
        <w:rPr>
          <w:rFonts w:hint="eastAsia"/>
          <w:b w:val="0"/>
          <w:u w:val="single"/>
        </w:rPr>
        <w:t>。</w:t>
      </w:r>
    </w:p>
    <w:p w:rsidR="00916970" w:rsidRDefault="00916970">
      <w:pPr>
        <w:pStyle w:val="21"/>
        <w:spacing w:before="48" w:after="48" w:line="480" w:lineRule="auto"/>
        <w:ind w:firstLine="482"/>
        <w:rPr>
          <w:rFonts w:eastAsia="Times New Roman" w:hAnsi="Times New Roman"/>
        </w:rPr>
      </w:pPr>
    </w:p>
    <w:p w:rsidR="001A645A" w:rsidRDefault="00CE0AA4">
      <w:pPr>
        <w:spacing w:before="48" w:after="48" w:line="480" w:lineRule="auto"/>
        <w:ind w:firstLine="482"/>
        <w:rPr>
          <w:ins w:id="0" w:author="USER" w:date="2018-06-27T17:24:00Z"/>
          <w:rFonts w:ascii="宋体" w:eastAsia="宋体" w:hAnsi="宋体"/>
          <w:b/>
          <w:sz w:val="24"/>
          <w:szCs w:val="24"/>
        </w:rPr>
      </w:pPr>
      <w:r>
        <w:rPr>
          <w:rFonts w:ascii="宋体" w:eastAsia="宋体" w:hAnsi="宋体"/>
          <w:b/>
          <w:sz w:val="24"/>
          <w:szCs w:val="24"/>
        </w:rPr>
        <w:t>四、价值时点：</w:t>
      </w:r>
      <w:r>
        <w:rPr>
          <w:rFonts w:ascii="宋体" w:eastAsia="宋体" w:hAnsi="宋体"/>
          <w:b/>
          <w:sz w:val="24"/>
          <w:szCs w:val="24"/>
          <w:u w:val="single"/>
        </w:rPr>
        <w:t xml:space="preserve"> 2018 </w:t>
      </w:r>
      <w:r>
        <w:rPr>
          <w:rFonts w:ascii="宋体" w:eastAsia="宋体" w:hAnsi="宋体"/>
          <w:b/>
          <w:sz w:val="24"/>
          <w:szCs w:val="24"/>
        </w:rPr>
        <w:t xml:space="preserve">年 </w:t>
      </w:r>
      <w:r>
        <w:rPr>
          <w:rFonts w:ascii="宋体" w:eastAsia="宋体" w:hAnsi="宋体"/>
          <w:b/>
          <w:sz w:val="24"/>
          <w:szCs w:val="24"/>
          <w:u w:val="single"/>
        </w:rPr>
        <w:t xml:space="preserve"> </w:t>
      </w:r>
      <w:r w:rsidR="00E066E7">
        <w:rPr>
          <w:rFonts w:ascii="宋体" w:eastAsia="宋体" w:hAnsi="宋体" w:hint="eastAsia"/>
          <w:b/>
          <w:sz w:val="24"/>
          <w:szCs w:val="24"/>
          <w:u w:val="single"/>
        </w:rPr>
        <w:t>10</w:t>
      </w:r>
      <w:r>
        <w:rPr>
          <w:rFonts w:ascii="宋体" w:eastAsia="宋体" w:hAnsi="宋体"/>
          <w:b/>
          <w:sz w:val="24"/>
          <w:szCs w:val="24"/>
        </w:rPr>
        <w:t>月</w:t>
      </w:r>
      <w:r w:rsidR="00E066E7">
        <w:rPr>
          <w:rFonts w:ascii="宋体" w:eastAsia="宋体" w:hAnsi="宋体"/>
          <w:b/>
          <w:sz w:val="24"/>
          <w:szCs w:val="24"/>
          <w:u w:val="single"/>
        </w:rPr>
        <w:t xml:space="preserve"> </w:t>
      </w:r>
      <w:r w:rsidR="00E066E7">
        <w:rPr>
          <w:rFonts w:ascii="宋体" w:eastAsia="宋体" w:hAnsi="宋体" w:hint="eastAsia"/>
          <w:b/>
          <w:sz w:val="24"/>
          <w:szCs w:val="24"/>
          <w:u w:val="single"/>
        </w:rPr>
        <w:t>12</w:t>
      </w:r>
      <w:r>
        <w:rPr>
          <w:rFonts w:ascii="宋体" w:eastAsia="宋体" w:hAnsi="宋体"/>
          <w:b/>
          <w:sz w:val="24"/>
          <w:szCs w:val="24"/>
          <w:u w:val="single"/>
        </w:rPr>
        <w:t xml:space="preserve"> </w:t>
      </w:r>
      <w:r>
        <w:rPr>
          <w:rFonts w:ascii="宋体" w:eastAsia="宋体" w:hAnsi="宋体"/>
          <w:b/>
          <w:sz w:val="24"/>
          <w:szCs w:val="24"/>
        </w:rPr>
        <w:t xml:space="preserve">日 </w:t>
      </w:r>
    </w:p>
    <w:p w:rsidR="001A645A" w:rsidRDefault="001A645A">
      <w:pPr>
        <w:spacing w:before="48" w:after="48" w:line="480" w:lineRule="auto"/>
        <w:ind w:firstLine="482"/>
        <w:rPr>
          <w:rFonts w:ascii="宋体"/>
          <w:sz w:val="24"/>
          <w:szCs w:val="24"/>
        </w:rPr>
      </w:pPr>
    </w:p>
    <w:p w:rsidR="001A645A" w:rsidRDefault="00CE0AA4">
      <w:pPr>
        <w:spacing w:before="48" w:after="48" w:line="480" w:lineRule="auto"/>
        <w:ind w:firstLine="482"/>
        <w:rPr>
          <w:rFonts w:ascii="宋体"/>
          <w:sz w:val="24"/>
          <w:szCs w:val="24"/>
        </w:rPr>
      </w:pPr>
      <w:r>
        <w:rPr>
          <w:rFonts w:ascii="宋体" w:eastAsia="宋体" w:hAnsi="宋体"/>
          <w:b/>
          <w:sz w:val="24"/>
          <w:szCs w:val="24"/>
        </w:rPr>
        <w:lastRenderedPageBreak/>
        <w:t>五、价值类型：</w:t>
      </w:r>
      <w:r>
        <w:rPr>
          <w:rFonts w:ascii="宋体" w:eastAsia="宋体" w:hAnsi="宋体"/>
          <w:b/>
          <w:sz w:val="24"/>
          <w:szCs w:val="24"/>
          <w:u w:val="single"/>
        </w:rPr>
        <w:t xml:space="preserve"> 抵押价值 </w:t>
      </w:r>
    </w:p>
    <w:p w:rsidR="001A645A" w:rsidRDefault="001A645A">
      <w:pPr>
        <w:spacing w:before="48" w:after="48" w:line="400" w:lineRule="exact"/>
        <w:ind w:firstLine="482"/>
        <w:rPr>
          <w:rFonts w:ascii="宋体"/>
          <w:b/>
          <w:sz w:val="24"/>
          <w:szCs w:val="24"/>
        </w:rPr>
      </w:pPr>
    </w:p>
    <w:p w:rsidR="001A645A" w:rsidRDefault="00CE0AA4">
      <w:pPr>
        <w:spacing w:before="48" w:after="48" w:line="400" w:lineRule="exact"/>
        <w:ind w:firstLine="482"/>
        <w:rPr>
          <w:rFonts w:ascii="宋体"/>
          <w:sz w:val="24"/>
          <w:szCs w:val="24"/>
        </w:rPr>
      </w:pPr>
      <w:r>
        <w:rPr>
          <w:rFonts w:ascii="宋体" w:eastAsia="宋体" w:hAnsi="宋体"/>
          <w:b/>
          <w:sz w:val="24"/>
          <w:szCs w:val="24"/>
        </w:rPr>
        <w:t>六、评估业务完成期限</w:t>
      </w:r>
    </w:p>
    <w:p w:rsidR="001A645A" w:rsidRDefault="00CE0AA4">
      <w:pPr>
        <w:spacing w:before="48" w:after="48" w:line="360" w:lineRule="auto"/>
        <w:ind w:firstLine="480"/>
        <w:rPr>
          <w:rFonts w:ascii="宋体"/>
          <w:sz w:val="24"/>
          <w:szCs w:val="24"/>
        </w:rPr>
      </w:pPr>
      <w:r>
        <w:rPr>
          <w:rFonts w:ascii="宋体" w:eastAsia="宋体" w:hAnsi="宋体"/>
          <w:sz w:val="24"/>
          <w:szCs w:val="24"/>
        </w:rPr>
        <w:t>根据不动产估价工作时间安排，甲方应先期准备或指定不动产权利人、此次经济行为相关方提供乙方估价所需的不动产权属证明及其他相关资料，并于合同签订之日以后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七、评估服务费及支付方式</w:t>
      </w:r>
    </w:p>
    <w:p w:rsidR="001A645A" w:rsidRDefault="00CE0AA4">
      <w:pPr>
        <w:tabs>
          <w:tab w:val="left" w:pos="720"/>
        </w:tabs>
        <w:spacing w:before="48" w:after="48" w:line="360" w:lineRule="auto"/>
        <w:ind w:firstLine="480"/>
        <w:rPr>
          <w:rFonts w:ascii="宋体" w:eastAsia="宋体" w:hAnsi="宋体"/>
          <w:sz w:val="24"/>
          <w:szCs w:val="24"/>
        </w:rPr>
      </w:pPr>
      <w:r>
        <w:rPr>
          <w:rFonts w:ascii="宋体" w:eastAsia="宋体" w:hAnsi="宋体"/>
          <w:sz w:val="24"/>
          <w:szCs w:val="24"/>
        </w:rPr>
        <w:t>1.</w:t>
      </w:r>
      <w:r>
        <w:rPr>
          <w:sz w:val="24"/>
          <w:szCs w:val="24"/>
        </w:rPr>
        <w:t xml:space="preserve"> </w:t>
      </w:r>
      <w:r>
        <w:rPr>
          <w:rFonts w:ascii="宋体" w:eastAsia="宋体" w:hAnsi="宋体"/>
          <w:sz w:val="24"/>
          <w:szCs w:val="24"/>
        </w:rPr>
        <w:t>参考原国家计委、建设部发布的《国家计委、建设部关于房地产中介服务收费的通知》（计价格第971号）相关规定、此次评估的特定目的及本项目评估工作的繁简程度，甲乙双方协商本次估价服务费合计为人民币</w:t>
      </w:r>
      <w:r>
        <w:rPr>
          <w:rFonts w:ascii="宋体" w:eastAsia="宋体" w:hAnsi="宋体"/>
          <w:sz w:val="24"/>
          <w:szCs w:val="24"/>
          <w:u w:val="single"/>
        </w:rPr>
        <w:t xml:space="preserve"> </w:t>
      </w:r>
      <w:r w:rsidR="00E066E7">
        <w:rPr>
          <w:rFonts w:ascii="宋体" w:eastAsia="宋体" w:hAnsi="宋体" w:hint="eastAsia"/>
          <w:sz w:val="24"/>
          <w:szCs w:val="24"/>
          <w:u w:val="single"/>
        </w:rPr>
        <w:t>10</w:t>
      </w:r>
      <w:r>
        <w:rPr>
          <w:rFonts w:ascii="宋体" w:eastAsia="宋体" w:hAnsi="宋体"/>
          <w:sz w:val="24"/>
          <w:szCs w:val="24"/>
          <w:u w:val="single"/>
        </w:rPr>
        <w:t xml:space="preserve"> </w:t>
      </w:r>
      <w:r>
        <w:rPr>
          <w:rFonts w:ascii="宋体" w:eastAsia="宋体" w:hAnsi="宋体"/>
          <w:sz w:val="24"/>
          <w:szCs w:val="24"/>
        </w:rPr>
        <w:t>万元（大写：壹拾万元整）。以上费用包括但不限于本次评估费用等，除本合同另有约定外乙方不得要求增加任何费用。</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2.支付方式：乙方提交正式《不动产估价报告书》并经甲方验收无异议后</w:t>
      </w:r>
      <w:r>
        <w:rPr>
          <w:rFonts w:ascii="宋体" w:eastAsia="宋体" w:hAnsi="宋体"/>
          <w:sz w:val="24"/>
          <w:szCs w:val="24"/>
          <w:u w:val="single"/>
        </w:rPr>
        <w:t>7</w:t>
      </w:r>
      <w:r>
        <w:rPr>
          <w:rFonts w:ascii="宋体" w:eastAsia="宋体" w:hAnsi="宋体"/>
          <w:sz w:val="24"/>
          <w:szCs w:val="24"/>
        </w:rPr>
        <w:t>日内，甲方支付给乙方</w:t>
      </w:r>
      <w:r>
        <w:rPr>
          <w:rFonts w:ascii="宋体" w:eastAsia="宋体" w:hAnsi="宋体"/>
          <w:sz w:val="24"/>
          <w:szCs w:val="24"/>
          <w:u w:val="single"/>
        </w:rPr>
        <w:t xml:space="preserve"> 1</w:t>
      </w:r>
      <w:r w:rsidR="00E066E7">
        <w:rPr>
          <w:rFonts w:ascii="宋体" w:eastAsia="宋体" w:hAnsi="宋体" w:hint="eastAsia"/>
          <w:sz w:val="24"/>
          <w:szCs w:val="24"/>
          <w:u w:val="single"/>
        </w:rPr>
        <w:t>0</w:t>
      </w:r>
      <w:r>
        <w:rPr>
          <w:rFonts w:ascii="宋体" w:eastAsia="宋体" w:hAnsi="宋体"/>
          <w:sz w:val="24"/>
          <w:szCs w:val="24"/>
          <w:u w:val="single"/>
        </w:rPr>
        <w:t xml:space="preserve"> </w:t>
      </w:r>
      <w:r>
        <w:rPr>
          <w:rFonts w:ascii="宋体" w:eastAsia="宋体" w:hAnsi="宋体"/>
          <w:sz w:val="24"/>
          <w:szCs w:val="24"/>
        </w:rPr>
        <w:t>万元</w:t>
      </w:r>
      <w:r w:rsidR="00E066E7">
        <w:rPr>
          <w:rFonts w:ascii="宋体" w:eastAsia="宋体" w:hAnsi="宋体"/>
          <w:sz w:val="24"/>
          <w:szCs w:val="24"/>
        </w:rPr>
        <w:t>（大写：壹拾万元整）</w:t>
      </w:r>
      <w:bookmarkStart w:id="1" w:name="_GoBack"/>
      <w:bookmarkEnd w:id="1"/>
      <w:r>
        <w:rPr>
          <w:rFonts w:ascii="宋体" w:eastAsia="宋体" w:hAnsi="宋体"/>
          <w:sz w:val="24"/>
          <w:szCs w:val="24"/>
        </w:rPr>
        <w:t>。</w:t>
      </w:r>
    </w:p>
    <w:p w:rsidR="001A645A" w:rsidRDefault="00CE0AA4">
      <w:pPr>
        <w:tabs>
          <w:tab w:val="left" w:pos="720"/>
        </w:tabs>
        <w:spacing w:before="48" w:after="48" w:line="360" w:lineRule="auto"/>
        <w:ind w:firstLine="480"/>
        <w:rPr>
          <w:rFonts w:ascii="宋体" w:eastAsia="宋体" w:hAnsi="宋体"/>
          <w:sz w:val="24"/>
          <w:szCs w:val="24"/>
        </w:rPr>
      </w:pPr>
      <w:r>
        <w:rPr>
          <w:rFonts w:ascii="宋体" w:eastAsia="宋体" w:hAnsi="宋体"/>
          <w:sz w:val="24"/>
          <w:szCs w:val="24"/>
        </w:rPr>
        <w:t>3.如本合同因甲方原因而终止（不可抗力等客观原因除外），甲方应按照乙方完成的工作量支付乙方相应的评估服务费。</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4.乙方账号如下：</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户    名：北京康正宏基房地产评估有限公司</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开户银行：交通银行北京中轴路支行</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开户账号：110060739012015026873</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行号：交739</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八、双方的权利与义务</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（一） 甲方</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1.甲方应当对其（包括其指定的不动产权利人、此次经济行为相关方）提供的权属证明、财务会计信息和其他资料的真实性、完整性和合法性负责，按合同约定及时提供。</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2.甲方（包括其指定的不动产权利人、此次经济行为相关方）有责任配合乙方到有关部门查阅、抄录有关估价对象的资料；在乙方现场勘查及权属文件资料核查和验证工作时，应指定专业人员配合、提供方便。</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3.甲方自接到乙方提交的《不动产估价报告书》之日起五个工作日内，如对估价结果产生异议，且理由正当，可要求乙方复估或重估。</w:t>
      </w:r>
    </w:p>
    <w:p w:rsidR="001A645A" w:rsidRDefault="00CE0AA4">
      <w:pPr>
        <w:tabs>
          <w:tab w:val="left" w:pos="720"/>
        </w:tabs>
        <w:spacing w:before="48" w:after="48" w:line="360" w:lineRule="auto"/>
        <w:ind w:firstLine="480"/>
        <w:outlineLvl w:val="0"/>
        <w:rPr>
          <w:rFonts w:ascii="宋体" w:eastAsia="宋体" w:hAnsi="宋体"/>
          <w:sz w:val="24"/>
          <w:szCs w:val="24"/>
        </w:rPr>
      </w:pPr>
      <w:r>
        <w:rPr>
          <w:rFonts w:ascii="宋体" w:eastAsia="宋体" w:hAnsi="宋体"/>
          <w:sz w:val="24"/>
          <w:szCs w:val="24"/>
        </w:rPr>
        <w:t>4.甲方不得要求乙方出具虚假评估报告或者有其他非法干预评估结果情形。</w:t>
      </w:r>
    </w:p>
    <w:p w:rsidR="001A645A" w:rsidRDefault="00CE0AA4">
      <w:pPr>
        <w:tabs>
          <w:tab w:val="left" w:pos="720"/>
        </w:tabs>
        <w:spacing w:before="48" w:after="48" w:line="360" w:lineRule="auto"/>
        <w:ind w:firstLine="480"/>
        <w:outlineLvl w:val="0"/>
        <w:rPr>
          <w:rFonts w:ascii="宋体"/>
          <w:sz w:val="24"/>
          <w:szCs w:val="24"/>
        </w:rPr>
      </w:pPr>
      <w:r>
        <w:rPr>
          <w:rFonts w:ascii="宋体"/>
          <w:sz w:val="24"/>
          <w:szCs w:val="24"/>
        </w:rPr>
        <w:t xml:space="preserve">5. </w:t>
      </w:r>
      <w:r>
        <w:rPr>
          <w:rFonts w:ascii="宋体"/>
          <w:sz w:val="24"/>
          <w:szCs w:val="24"/>
        </w:rPr>
        <w:t>甲方有义务正确、恰当地使用《不动产估价报告书》。</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（二） 乙方</w:t>
      </w:r>
      <w:r>
        <w:rPr>
          <w:rFonts w:ascii="宋体"/>
          <w:sz w:val="24"/>
          <w:szCs w:val="24"/>
        </w:rPr>
        <w:tab/>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1.乙方有权要求甲方提供与估价对象相关的权属证明、财务会计信息和其他资料，以及为执行公允的评估程序所需的必要协助。乙方提交虚假发票，甲方有权解除合同。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增值税专用发票税率如国家或地方有关政府部门后续对税率有调整的，以国家或地方颁布的最新规定为准。</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2.乙方应独立、客观、公正从事估价业务；认真执行法律和行政法规，对出具《不动产报告书》承担相应的法律责任。</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3.乙方应对收到的甲方所提供的有关估价对象的资料妥善保管并负保密之责，非经甲方同意不得擅自公开或泄露给他人。</w:t>
      </w:r>
    </w:p>
    <w:p w:rsidR="001A645A" w:rsidRDefault="00CE0AA4">
      <w:pPr>
        <w:tabs>
          <w:tab w:val="left" w:pos="720"/>
        </w:tabs>
        <w:spacing w:before="48" w:after="48" w:line="360" w:lineRule="auto"/>
        <w:ind w:firstLine="480"/>
        <w:outlineLvl w:val="0"/>
        <w:rPr>
          <w:rFonts w:ascii="宋体" w:eastAsia="宋体" w:hAnsi="宋体"/>
          <w:sz w:val="24"/>
          <w:szCs w:val="24"/>
        </w:rPr>
      </w:pPr>
      <w:r>
        <w:rPr>
          <w:rFonts w:ascii="宋体" w:eastAsia="宋体" w:hAnsi="宋体"/>
          <w:sz w:val="24"/>
          <w:szCs w:val="24"/>
        </w:rPr>
        <w:t>4.乙方应对甲方复估或重估书面申请后十个工作日内完成估价对象的复估或重估报告书，交付甲方。</w:t>
      </w:r>
    </w:p>
    <w:p w:rsidR="001A645A" w:rsidRDefault="00CE0AA4">
      <w:pPr>
        <w:tabs>
          <w:tab w:val="left" w:pos="720"/>
        </w:tabs>
        <w:spacing w:before="48" w:after="48" w:line="360" w:lineRule="auto"/>
        <w:ind w:firstLine="480"/>
        <w:outlineLvl w:val="0"/>
        <w:rPr>
          <w:rFonts w:ascii="宋体" w:eastAsia="宋体" w:hAnsi="宋体"/>
          <w:sz w:val="24"/>
          <w:szCs w:val="24"/>
        </w:rPr>
      </w:pPr>
      <w:r>
        <w:rPr>
          <w:rFonts w:ascii="宋体" w:eastAsia="宋体" w:hAnsi="宋体"/>
          <w:sz w:val="24"/>
          <w:szCs w:val="24"/>
        </w:rPr>
        <w:t>5.乙方的通讯地址为：</w:t>
      </w:r>
      <w:r>
        <w:rPr>
          <w:rFonts w:ascii="宋体" w:eastAsia="宋体" w:hAnsi="宋体"/>
          <w:sz w:val="24"/>
          <w:szCs w:val="24"/>
          <w:u w:val="single"/>
        </w:rPr>
        <w:t>北京市朝阳区裕民路12号中国国际科技会展中心B座1001号</w:t>
      </w:r>
      <w:r>
        <w:rPr>
          <w:rFonts w:ascii="宋体" w:eastAsia="宋体" w:hAnsi="宋体"/>
          <w:sz w:val="24"/>
          <w:szCs w:val="24"/>
        </w:rPr>
        <w:t>，电子邮箱地址：</w:t>
      </w:r>
      <w:r>
        <w:rPr>
          <w:rFonts w:ascii="宋体" w:eastAsia="宋体" w:hAnsi="宋体"/>
          <w:sz w:val="24"/>
          <w:szCs w:val="24"/>
          <w:u w:val="single"/>
        </w:rPr>
        <w:t xml:space="preserve"> 13701191625@163.com </w:t>
      </w:r>
      <w:r>
        <w:rPr>
          <w:rFonts w:ascii="宋体" w:eastAsia="宋体" w:hAnsi="宋体"/>
          <w:sz w:val="24"/>
          <w:szCs w:val="24"/>
        </w:rPr>
        <w:t xml:space="preserve"> ，联系人:</w:t>
      </w:r>
      <w:r>
        <w:rPr>
          <w:rFonts w:ascii="宋体" w:eastAsia="宋体" w:hAnsi="宋体"/>
          <w:sz w:val="24"/>
          <w:szCs w:val="24"/>
          <w:u w:val="single"/>
        </w:rPr>
        <w:t xml:space="preserve">  王鹏  </w:t>
      </w:r>
      <w:r>
        <w:rPr>
          <w:rFonts w:ascii="宋体" w:eastAsia="宋体" w:hAnsi="宋体"/>
          <w:sz w:val="24"/>
          <w:szCs w:val="24"/>
        </w:rPr>
        <w:t xml:space="preserve">   ，邮政编码: </w:t>
      </w:r>
      <w:r>
        <w:rPr>
          <w:rFonts w:ascii="宋体" w:eastAsia="宋体" w:hAnsi="宋体"/>
          <w:sz w:val="24"/>
          <w:szCs w:val="24"/>
          <w:u w:val="single"/>
        </w:rPr>
        <w:t xml:space="preserve"> 100029  </w:t>
      </w:r>
      <w:r>
        <w:rPr>
          <w:rFonts w:ascii="宋体" w:eastAsia="宋体" w:hAnsi="宋体"/>
          <w:sz w:val="24"/>
          <w:szCs w:val="24"/>
        </w:rPr>
        <w:t xml:space="preserve">  ，前台固定电话:</w:t>
      </w:r>
      <w:r>
        <w:rPr>
          <w:rFonts w:ascii="宋体" w:eastAsia="宋体" w:hAnsi="宋体"/>
          <w:sz w:val="24"/>
          <w:szCs w:val="24"/>
          <w:u w:val="single"/>
        </w:rPr>
        <w:t>82253558</w:t>
      </w:r>
      <w:r>
        <w:rPr>
          <w:rFonts w:ascii="宋体" w:eastAsia="宋体" w:hAnsi="宋体"/>
          <w:sz w:val="24"/>
          <w:szCs w:val="24"/>
        </w:rPr>
        <w:t>。甲方依本地址向乙方发送有关信函文件，因乙方所留地址有误或变更地址未通知甲方的，责任由乙方承担，甲方向乙方所发送的信函文件等视为已送达乙方。</w:t>
      </w:r>
    </w:p>
    <w:p w:rsidR="001A645A" w:rsidRDefault="001A645A">
      <w:pPr>
        <w:pStyle w:val="af2"/>
        <w:spacing w:before="48" w:after="48" w:line="400" w:lineRule="exact"/>
        <w:ind w:firstLine="480"/>
        <w:rPr>
          <w:rFonts w:eastAsia="宋体"/>
        </w:rPr>
      </w:pPr>
    </w:p>
    <w:p w:rsidR="001A645A" w:rsidRDefault="00CE0AA4">
      <w:pPr>
        <w:tabs>
          <w:tab w:val="left" w:pos="720"/>
        </w:tabs>
        <w:spacing w:before="48" w:after="48" w:line="400" w:lineRule="exact"/>
        <w:ind w:firstLine="482"/>
        <w:rPr>
          <w:rFonts w:ascii="宋体"/>
          <w:sz w:val="24"/>
          <w:szCs w:val="24"/>
        </w:rPr>
      </w:pPr>
      <w:r>
        <w:rPr>
          <w:rFonts w:ascii="宋体" w:eastAsia="宋体" w:hAnsi="宋体"/>
          <w:b/>
          <w:sz w:val="24"/>
          <w:szCs w:val="24"/>
        </w:rPr>
        <w:t>九、不动产估价报告书的使用者及使用范围</w:t>
      </w:r>
    </w:p>
    <w:p w:rsidR="001A645A" w:rsidRDefault="00CE0AA4">
      <w:pPr>
        <w:tabs>
          <w:tab w:val="left" w:pos="0"/>
        </w:tabs>
        <w:spacing w:before="48" w:after="48" w:line="360" w:lineRule="auto"/>
        <w:ind w:firstLine="480"/>
        <w:rPr>
          <w:rFonts w:ascii="宋体"/>
          <w:sz w:val="24"/>
          <w:szCs w:val="24"/>
        </w:rPr>
      </w:pPr>
      <w:r>
        <w:rPr>
          <w:rFonts w:ascii="宋体" w:eastAsia="宋体" w:hAnsi="宋体"/>
          <w:sz w:val="24"/>
          <w:szCs w:val="24"/>
        </w:rPr>
        <w:t xml:space="preserve">乙方履行本合同出具的《不动产估价报告书》的使用者为：甲方及法律法规规定的使用者。 </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《不动产估价报告书》仅供甲方及法律法规规定的使用者按本合同约定的估价目的使用，乙方对上述报告使用者不当使用《不动产估价报告书》所造成的后果不承担责任。</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如无法律法规规定，甲方未征得乙方事先书面同意，不得摘抄、引用或者披露《不动产估价报告书》的内容于任何公开媒体之上。</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如无法律法规规定，乙方未经甲方事先书面，不得将《不动产估价报告书》的内容向第三方提供或者公开。</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十、违约责任</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（二）发生下列情形的，甲乙双方承担各自责任：</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1.甲方如未按上述条款规定的日期向乙方提供具备真实性、完整性和合法性要求的估价所必需资料，甲方应承担相应的法律责任，乙方可按甲方耽误的时间顺延《不动产估价报告书》的交付时间。</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2.甲方单方终止本合同，如乙方工作已经过半，甲方应向乙方支付全部估价服务费；乙方工作尚未过半，甲方应向乙方支付全部估价服务费的50%，或定金不予退还，上述两者之中取其高者。</w:t>
      </w:r>
    </w:p>
    <w:p w:rsidR="001A645A" w:rsidRDefault="00CE0AA4">
      <w:pPr>
        <w:tabs>
          <w:tab w:val="left" w:pos="720"/>
        </w:tabs>
        <w:spacing w:before="48" w:after="48" w:line="360" w:lineRule="auto"/>
        <w:ind w:firstLine="480"/>
        <w:rPr>
          <w:rFonts w:ascii="宋体" w:eastAsia="宋体" w:hAnsi="宋体"/>
          <w:sz w:val="24"/>
          <w:szCs w:val="24"/>
        </w:rPr>
      </w:pPr>
      <w:r>
        <w:rPr>
          <w:rFonts w:ascii="宋体" w:eastAsia="宋体" w:hAnsi="宋体"/>
          <w:sz w:val="24"/>
          <w:szCs w:val="24"/>
        </w:rPr>
        <w:t>3.甲方如未按上述条款规定的时间向乙方支付估价服务费，以甲方应付款项为基数，从逾期之日起，每逾期一日，甲方向乙方支付应付款项的万分之六作为违约金。</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4.乙方如无正当理由，逾期交付《不动产估价报告书》，每逾期一日，乙方向甲方支付估价服务费的万分之六作为违约金。逾期十天及以上的，甲方有权解除合同，并要求乙方承担合同总价20%的违约金，如违约金不能弥补给甲方造成的损失，则乙方应对给甲方造成的损失承担赔偿责任。</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十一、保密条款</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本合同内容以及合同履行过程中的任何信息，甲乙双方及双方参与的人员应严格保密；未经对方书面同意，不得向任何第三方透露，法律法规要求披露的除外。</w:t>
      </w:r>
    </w:p>
    <w:p w:rsidR="001A645A" w:rsidRDefault="00CE0AA4">
      <w:pPr>
        <w:tabs>
          <w:tab w:val="left" w:pos="720"/>
        </w:tabs>
        <w:spacing w:before="48" w:after="48" w:line="400" w:lineRule="exact"/>
        <w:ind w:firstLine="482"/>
        <w:rPr>
          <w:rFonts w:ascii="宋体" w:eastAsia="宋体" w:hAnsi="宋体"/>
          <w:b/>
          <w:sz w:val="24"/>
          <w:szCs w:val="24"/>
        </w:rPr>
      </w:pPr>
      <w:r>
        <w:rPr>
          <w:rFonts w:ascii="宋体" w:eastAsia="宋体" w:hAnsi="宋体"/>
          <w:b/>
          <w:sz w:val="24"/>
          <w:szCs w:val="24"/>
        </w:rPr>
        <w:t>十二、廉洁条款</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监察部门举报。具体举报渠道如下：</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（一）KK投诉举报：KK账号“恒大地产监察投诉专员”</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（二）电话投诉举报：13058187453</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（三）邮箱投诉举报：HDDC110@evergrande.com</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（四）信件投诉举报邮寄地址：深圳市南山区海德三道1126号卓越后海中心35楼监察中心。</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2、严禁乙方以任何方式向甲方人员提供私人便利、行贿或进行非正常商务宴请。</w:t>
      </w:r>
    </w:p>
    <w:p w:rsidR="001A645A" w:rsidRDefault="00CE0AA4">
      <w:pPr>
        <w:pStyle w:val="af1"/>
        <w:snapToGrid w:val="0"/>
        <w:spacing w:before="48" w:after="48" w:line="360" w:lineRule="auto"/>
        <w:ind w:firstLine="480"/>
        <w:rPr>
          <w:rFonts w:ascii="仿宋" w:eastAsia="仿宋" w:hAnsi="仿宋"/>
          <w:sz w:val="28"/>
          <w:szCs w:val="28"/>
        </w:rPr>
      </w:pPr>
      <w:r>
        <w:rPr>
          <w:rFonts w:eastAsia="宋体"/>
          <w:sz w:val="24"/>
          <w:szCs w:val="24"/>
        </w:rPr>
        <w:t>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rsidR="001A645A" w:rsidRDefault="001A645A">
      <w:pPr>
        <w:tabs>
          <w:tab w:val="left" w:pos="720"/>
        </w:tabs>
        <w:spacing w:before="48" w:after="48" w:line="400" w:lineRule="exact"/>
        <w:ind w:firstLine="482"/>
        <w:rPr>
          <w:rFonts w:ascii="宋体" w:eastAsia="宋体" w:hAnsi="宋体"/>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十三、合同的变更、中止、解除</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本合同履行过程中，如发生《中华人民共和国合同法》、《中华人民共和国资产评估法》中允许变更或解除合同的情况，双方应依法或依约定变更或解除合同。</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 xml:space="preserve">甲、乙双方发现相关事项约定不明确，或者履行估价程序受到限制需要增加、调整约定事项的，可以协商对合同相关条款进行变更，并签订补充合同或者重新签订合同。补充合同或者新的合同未达成前，本合同仍然有效。   </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本合同签订后，估价目的、估价对象、价值时点发生变化，或者估价范围发生重大变化，甲、乙双方应签订补充合同或者重新签订合同。</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合同解除后，乙方根据已完成的工作量与甲方协商确定应收取或者退回的评估服务费。</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十四、争议的解决</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凡因本合同或与本合同有关的一切争议，甲、乙双方应友好协商解决；协商不成的，任何一方均有权向甲方住所地人民法院提起诉讼，接受第一立案法院管辖。</w:t>
      </w:r>
    </w:p>
    <w:p w:rsidR="001A645A" w:rsidRDefault="001A645A">
      <w:pPr>
        <w:tabs>
          <w:tab w:val="left" w:pos="720"/>
          <w:tab w:val="left" w:pos="5595"/>
        </w:tabs>
        <w:spacing w:before="48" w:after="48" w:line="400" w:lineRule="exact"/>
        <w:ind w:firstLine="482"/>
        <w:rPr>
          <w:rFonts w:ascii="宋体"/>
          <w:b/>
          <w:sz w:val="24"/>
          <w:szCs w:val="24"/>
        </w:rPr>
      </w:pPr>
    </w:p>
    <w:p w:rsidR="001A645A" w:rsidRDefault="00CE0AA4">
      <w:pPr>
        <w:tabs>
          <w:tab w:val="left" w:pos="720"/>
          <w:tab w:val="left" w:pos="5595"/>
        </w:tabs>
        <w:spacing w:before="48" w:after="48" w:line="400" w:lineRule="exact"/>
        <w:ind w:firstLine="482"/>
        <w:rPr>
          <w:rFonts w:ascii="宋体"/>
          <w:sz w:val="24"/>
          <w:szCs w:val="24"/>
        </w:rPr>
      </w:pPr>
      <w:r>
        <w:rPr>
          <w:rFonts w:ascii="宋体" w:eastAsia="宋体" w:hAnsi="宋体"/>
          <w:b/>
          <w:sz w:val="24"/>
          <w:szCs w:val="24"/>
        </w:rPr>
        <w:t>十五、合同有效期限</w:t>
      </w:r>
      <w:r>
        <w:rPr>
          <w:rFonts w:ascii="宋体"/>
          <w:b/>
          <w:sz w:val="24"/>
          <w:szCs w:val="24"/>
        </w:rPr>
        <w:tab/>
      </w:r>
    </w:p>
    <w:p w:rsidR="001A645A" w:rsidRDefault="00CE0AA4">
      <w:pPr>
        <w:tabs>
          <w:tab w:val="left" w:pos="720"/>
        </w:tabs>
        <w:spacing w:before="48" w:after="48" w:line="400" w:lineRule="exact"/>
        <w:ind w:firstLine="480"/>
        <w:rPr>
          <w:rFonts w:ascii="宋体"/>
          <w:sz w:val="24"/>
          <w:szCs w:val="24"/>
        </w:rPr>
      </w:pPr>
      <w:r>
        <w:rPr>
          <w:rFonts w:ascii="宋体" w:eastAsia="宋体" w:hAnsi="宋体"/>
          <w:sz w:val="24"/>
          <w:szCs w:val="24"/>
        </w:rPr>
        <w:t>本合同经甲、乙双方签章后生效，约定事项全部完成后终止。</w:t>
      </w:r>
    </w:p>
    <w:p w:rsidR="001A645A" w:rsidRDefault="001A645A">
      <w:pPr>
        <w:tabs>
          <w:tab w:val="left" w:pos="720"/>
        </w:tabs>
        <w:spacing w:before="48" w:after="48" w:line="400" w:lineRule="exact"/>
        <w:ind w:firstLine="482"/>
        <w:rPr>
          <w:rFonts w:ascii="宋体" w:eastAsia="맑은 고딕" w:hAnsi="맑은 고딕"/>
          <w:b/>
          <w:sz w:val="24"/>
          <w:szCs w:val="24"/>
        </w:rPr>
      </w:pPr>
    </w:p>
    <w:p w:rsidR="001A645A" w:rsidRDefault="00CE0AA4">
      <w:pPr>
        <w:tabs>
          <w:tab w:val="left" w:pos="720"/>
        </w:tabs>
        <w:spacing w:before="48" w:after="48" w:line="400" w:lineRule="exact"/>
        <w:ind w:firstLine="482"/>
        <w:rPr>
          <w:rFonts w:ascii="宋体"/>
          <w:sz w:val="24"/>
          <w:szCs w:val="24"/>
          <w:u w:val="single"/>
        </w:rPr>
      </w:pPr>
      <w:r>
        <w:rPr>
          <w:rFonts w:ascii="宋体" w:eastAsia="宋体" w:hAnsi="宋体"/>
          <w:b/>
          <w:sz w:val="24"/>
          <w:szCs w:val="24"/>
        </w:rPr>
        <w:t>十六、对其他有关事项的约定</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1.本合同一式</w:t>
      </w:r>
      <w:r>
        <w:rPr>
          <w:rFonts w:ascii="宋体" w:eastAsia="宋体" w:hAnsi="宋体"/>
          <w:sz w:val="24"/>
          <w:szCs w:val="24"/>
          <w:u w:val="single"/>
        </w:rPr>
        <w:t>3</w:t>
      </w:r>
      <w:r>
        <w:rPr>
          <w:rFonts w:ascii="宋体" w:eastAsia="宋体" w:hAnsi="宋体"/>
          <w:sz w:val="24"/>
          <w:szCs w:val="24"/>
        </w:rPr>
        <w:t>份，甲方持</w:t>
      </w:r>
      <w:r>
        <w:rPr>
          <w:rFonts w:ascii="宋体" w:eastAsia="宋体" w:hAnsi="宋体"/>
          <w:sz w:val="24"/>
          <w:szCs w:val="24"/>
          <w:u w:val="single"/>
        </w:rPr>
        <w:t xml:space="preserve"> 2 </w:t>
      </w:r>
      <w:r>
        <w:rPr>
          <w:rFonts w:ascii="宋体" w:eastAsia="宋体" w:hAnsi="宋体"/>
          <w:sz w:val="24"/>
          <w:szCs w:val="24"/>
        </w:rPr>
        <w:t>份，乙方持</w:t>
      </w:r>
      <w:r>
        <w:rPr>
          <w:rFonts w:ascii="宋体" w:eastAsia="宋体" w:hAnsi="宋体"/>
          <w:sz w:val="24"/>
          <w:szCs w:val="24"/>
          <w:u w:val="single"/>
        </w:rPr>
        <w:t xml:space="preserve"> 1 </w:t>
      </w:r>
      <w:r>
        <w:rPr>
          <w:rFonts w:ascii="宋体" w:eastAsia="宋体" w:hAnsi="宋体"/>
          <w:sz w:val="24"/>
          <w:szCs w:val="24"/>
        </w:rPr>
        <w:t>份。</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2.未尽事宜，由甲乙双方协商解决。可增订补充合同，补充合同与前所述条款发生冲突时，以补充合同为准。</w:t>
      </w:r>
    </w:p>
    <w:p w:rsidR="001A645A" w:rsidRDefault="001A645A">
      <w:pPr>
        <w:spacing w:after="160"/>
        <w:ind w:right="105" w:firstLine="496"/>
        <w:rPr>
          <w:rFonts w:eastAsia="맑은 고딕" w:hAnsi="맑은 고딕"/>
          <w:sz w:val="24"/>
          <w:szCs w:val="24"/>
        </w:rPr>
      </w:pPr>
    </w:p>
    <w:p w:rsidR="001A645A" w:rsidRDefault="001A645A">
      <w:pPr>
        <w:spacing w:after="160"/>
        <w:ind w:right="105" w:firstLine="496"/>
        <w:rPr>
          <w:rFonts w:eastAsia="맑은 고딕" w:hAnsi="맑은 고딕"/>
          <w:sz w:val="24"/>
          <w:szCs w:val="24"/>
        </w:rPr>
      </w:pPr>
    </w:p>
    <w:p w:rsidR="001A645A" w:rsidRDefault="001A645A">
      <w:pPr>
        <w:spacing w:after="160"/>
        <w:ind w:right="105" w:firstLine="496"/>
        <w:rPr>
          <w:rFonts w:eastAsia="맑은 고딕" w:hAnsi="맑은 고딕"/>
          <w:sz w:val="24"/>
          <w:szCs w:val="24"/>
        </w:rPr>
      </w:pPr>
    </w:p>
    <w:p w:rsidR="001A645A" w:rsidRDefault="001A645A">
      <w:pPr>
        <w:spacing w:after="160"/>
        <w:ind w:right="105" w:firstLine="496"/>
        <w:rPr>
          <w:rFonts w:eastAsia="맑은 고딕" w:hAnsi="맑은 고딕"/>
          <w:sz w:val="24"/>
          <w:szCs w:val="24"/>
        </w:rPr>
      </w:pPr>
    </w:p>
    <w:p w:rsidR="001A645A" w:rsidRDefault="00CE0AA4">
      <w:pPr>
        <w:spacing w:after="160" w:line="480" w:lineRule="auto"/>
        <w:ind w:right="108" w:firstLine="493"/>
        <w:rPr>
          <w:sz w:val="24"/>
          <w:szCs w:val="24"/>
        </w:rPr>
      </w:pPr>
      <w:r>
        <w:rPr>
          <w:rFonts w:eastAsia="宋体" w:hAnsi="宋体"/>
          <w:sz w:val="24"/>
          <w:szCs w:val="24"/>
        </w:rPr>
        <w:t>甲方</w:t>
      </w:r>
      <w:r>
        <w:rPr>
          <w:sz w:val="24"/>
          <w:szCs w:val="24"/>
        </w:rPr>
        <w:t>(</w:t>
      </w:r>
      <w:r>
        <w:rPr>
          <w:rFonts w:eastAsia="宋体" w:hAnsi="宋体"/>
          <w:sz w:val="24"/>
          <w:szCs w:val="24"/>
        </w:rPr>
        <w:t>盖章</w:t>
      </w:r>
      <w:r>
        <w:rPr>
          <w:sz w:val="24"/>
          <w:szCs w:val="24"/>
        </w:rPr>
        <w:t xml:space="preserve">) </w:t>
      </w:r>
      <w:r>
        <w:rPr>
          <w:rFonts w:eastAsia="宋体" w:hAnsi="宋体"/>
          <w:sz w:val="24"/>
          <w:szCs w:val="24"/>
        </w:rPr>
        <w:t>：</w:t>
      </w:r>
      <w:r>
        <w:rPr>
          <w:sz w:val="24"/>
          <w:szCs w:val="24"/>
        </w:rPr>
        <w:t xml:space="preserve">                     </w:t>
      </w:r>
    </w:p>
    <w:p w:rsidR="001A645A" w:rsidRDefault="00CE0AA4">
      <w:pPr>
        <w:spacing w:after="160" w:line="480" w:lineRule="auto"/>
        <w:ind w:right="108" w:firstLine="493"/>
        <w:rPr>
          <w:sz w:val="24"/>
          <w:szCs w:val="24"/>
        </w:rPr>
      </w:pPr>
      <w:r>
        <w:rPr>
          <w:rFonts w:eastAsia="宋体" w:hAnsi="宋体"/>
          <w:sz w:val="24"/>
          <w:szCs w:val="24"/>
        </w:rPr>
        <w:t>法定代表人或授权代理人</w:t>
      </w:r>
      <w:r>
        <w:rPr>
          <w:sz w:val="24"/>
          <w:szCs w:val="24"/>
        </w:rPr>
        <w:t>(</w:t>
      </w:r>
      <w:r>
        <w:rPr>
          <w:rFonts w:eastAsia="宋体" w:hAnsi="宋体"/>
          <w:sz w:val="24"/>
          <w:szCs w:val="24"/>
        </w:rPr>
        <w:t>签字</w:t>
      </w:r>
      <w:r>
        <w:rPr>
          <w:sz w:val="24"/>
          <w:szCs w:val="24"/>
        </w:rPr>
        <w:t xml:space="preserve">) </w:t>
      </w:r>
      <w:r>
        <w:rPr>
          <w:rFonts w:eastAsia="宋体" w:hAnsi="宋体"/>
          <w:sz w:val="24"/>
          <w:szCs w:val="24"/>
        </w:rPr>
        <w:t>：</w:t>
      </w:r>
      <w:r>
        <w:rPr>
          <w:sz w:val="24"/>
          <w:szCs w:val="24"/>
        </w:rPr>
        <w:t xml:space="preserve">   </w:t>
      </w:r>
    </w:p>
    <w:p w:rsidR="001A645A" w:rsidRDefault="00CE0AA4">
      <w:pPr>
        <w:spacing w:after="160" w:line="480" w:lineRule="auto"/>
        <w:ind w:right="108" w:firstLine="493"/>
        <w:rPr>
          <w:sz w:val="24"/>
          <w:szCs w:val="24"/>
        </w:rPr>
      </w:pPr>
      <w:r>
        <w:rPr>
          <w:rFonts w:eastAsia="宋体" w:hAnsi="宋体"/>
          <w:sz w:val="24"/>
          <w:szCs w:val="24"/>
        </w:rPr>
        <w:t>联系地址：</w:t>
      </w:r>
      <w:r>
        <w:rPr>
          <w:sz w:val="24"/>
          <w:szCs w:val="24"/>
        </w:rPr>
        <w:t xml:space="preserve">                      </w:t>
      </w:r>
    </w:p>
    <w:p w:rsidR="001A645A" w:rsidRDefault="00CE0AA4">
      <w:pPr>
        <w:spacing w:after="160" w:line="480" w:lineRule="auto"/>
        <w:ind w:right="108" w:firstLine="493"/>
        <w:rPr>
          <w:sz w:val="24"/>
          <w:szCs w:val="24"/>
        </w:rPr>
      </w:pPr>
      <w:r>
        <w:rPr>
          <w:rFonts w:eastAsia="宋体" w:hAnsi="宋体"/>
          <w:sz w:val="24"/>
          <w:szCs w:val="24"/>
        </w:rPr>
        <w:t>电话：</w:t>
      </w:r>
      <w:r>
        <w:rPr>
          <w:sz w:val="24"/>
          <w:szCs w:val="24"/>
        </w:rPr>
        <w:t xml:space="preserve">                          </w:t>
      </w:r>
    </w:p>
    <w:p w:rsidR="001A645A" w:rsidRDefault="00CE0AA4">
      <w:pPr>
        <w:spacing w:after="160" w:line="480" w:lineRule="auto"/>
        <w:ind w:right="108" w:firstLine="493"/>
        <w:rPr>
          <w:sz w:val="24"/>
          <w:szCs w:val="24"/>
        </w:rPr>
      </w:pPr>
      <w:r>
        <w:rPr>
          <w:sz w:val="24"/>
          <w:szCs w:val="24"/>
        </w:rPr>
        <w:t xml:space="preserve">       </w:t>
      </w:r>
      <w:r>
        <w:rPr>
          <w:rFonts w:eastAsia="宋体" w:hAnsi="宋体"/>
          <w:sz w:val="24"/>
          <w:szCs w:val="24"/>
        </w:rPr>
        <w:t>年</w:t>
      </w:r>
      <w:r>
        <w:rPr>
          <w:sz w:val="24"/>
          <w:szCs w:val="24"/>
        </w:rPr>
        <w:t xml:space="preserve">   </w:t>
      </w:r>
      <w:r>
        <w:rPr>
          <w:rFonts w:eastAsia="宋体" w:hAnsi="宋体"/>
          <w:sz w:val="24"/>
          <w:szCs w:val="24"/>
        </w:rPr>
        <w:t>月</w:t>
      </w:r>
      <w:r>
        <w:rPr>
          <w:sz w:val="24"/>
          <w:szCs w:val="24"/>
        </w:rPr>
        <w:t xml:space="preserve">   </w:t>
      </w:r>
      <w:r>
        <w:rPr>
          <w:rFonts w:eastAsia="宋体" w:hAnsi="宋体"/>
          <w:sz w:val="24"/>
          <w:szCs w:val="24"/>
        </w:rPr>
        <w:t>日</w:t>
      </w:r>
      <w:r>
        <w:rPr>
          <w:sz w:val="24"/>
          <w:szCs w:val="24"/>
        </w:rPr>
        <w:t xml:space="preserve">   </w:t>
      </w:r>
    </w:p>
    <w:p w:rsidR="001A645A" w:rsidRDefault="001A645A">
      <w:pPr>
        <w:spacing w:after="160" w:line="480" w:lineRule="auto"/>
        <w:ind w:right="108" w:firstLine="493"/>
        <w:rPr>
          <w:sz w:val="24"/>
          <w:szCs w:val="24"/>
        </w:rPr>
      </w:pPr>
    </w:p>
    <w:p w:rsidR="001A645A" w:rsidRDefault="00CE0AA4">
      <w:pPr>
        <w:spacing w:after="160" w:line="480" w:lineRule="auto"/>
        <w:ind w:right="108" w:firstLine="493"/>
        <w:rPr>
          <w:sz w:val="24"/>
          <w:szCs w:val="24"/>
        </w:rPr>
      </w:pPr>
      <w:r>
        <w:rPr>
          <w:rFonts w:eastAsia="宋体" w:hAnsi="宋体"/>
          <w:sz w:val="24"/>
          <w:szCs w:val="24"/>
        </w:rPr>
        <w:t>乙方</w:t>
      </w:r>
      <w:r>
        <w:rPr>
          <w:sz w:val="24"/>
          <w:szCs w:val="24"/>
        </w:rPr>
        <w:t>(</w:t>
      </w:r>
      <w:r>
        <w:rPr>
          <w:rFonts w:eastAsia="宋体" w:hAnsi="宋体"/>
          <w:sz w:val="24"/>
          <w:szCs w:val="24"/>
        </w:rPr>
        <w:t>盖章</w:t>
      </w:r>
      <w:r>
        <w:rPr>
          <w:sz w:val="24"/>
          <w:szCs w:val="24"/>
        </w:rPr>
        <w:t xml:space="preserve">) </w:t>
      </w:r>
      <w:r>
        <w:rPr>
          <w:rFonts w:eastAsia="宋体" w:hAnsi="宋体"/>
          <w:sz w:val="24"/>
          <w:szCs w:val="24"/>
        </w:rPr>
        <w:t>：</w:t>
      </w:r>
    </w:p>
    <w:p w:rsidR="001A645A" w:rsidRDefault="00CE0AA4">
      <w:pPr>
        <w:spacing w:after="160" w:line="480" w:lineRule="auto"/>
        <w:ind w:right="108" w:firstLine="493"/>
        <w:rPr>
          <w:sz w:val="24"/>
          <w:szCs w:val="24"/>
        </w:rPr>
      </w:pPr>
      <w:r>
        <w:rPr>
          <w:rFonts w:eastAsia="宋体" w:hAnsi="宋体"/>
          <w:sz w:val="24"/>
          <w:szCs w:val="24"/>
        </w:rPr>
        <w:t>法定代表人或授权代理人</w:t>
      </w:r>
      <w:r>
        <w:rPr>
          <w:sz w:val="24"/>
          <w:szCs w:val="24"/>
        </w:rPr>
        <w:t>(</w:t>
      </w:r>
      <w:r>
        <w:rPr>
          <w:rFonts w:eastAsia="宋体" w:hAnsi="宋体"/>
          <w:sz w:val="24"/>
          <w:szCs w:val="24"/>
        </w:rPr>
        <w:t>签字</w:t>
      </w:r>
      <w:r>
        <w:rPr>
          <w:sz w:val="24"/>
          <w:szCs w:val="24"/>
        </w:rPr>
        <w:t xml:space="preserve">) </w:t>
      </w:r>
      <w:r>
        <w:rPr>
          <w:rFonts w:eastAsia="宋体" w:hAnsi="宋体"/>
          <w:sz w:val="24"/>
          <w:szCs w:val="24"/>
        </w:rPr>
        <w:t>：</w:t>
      </w:r>
    </w:p>
    <w:p w:rsidR="001A645A" w:rsidRDefault="00CE0AA4">
      <w:pPr>
        <w:spacing w:after="160" w:line="480" w:lineRule="auto"/>
        <w:ind w:right="108" w:firstLine="493"/>
        <w:rPr>
          <w:sz w:val="24"/>
          <w:szCs w:val="24"/>
        </w:rPr>
      </w:pPr>
      <w:r>
        <w:rPr>
          <w:rFonts w:eastAsia="宋体" w:hAnsi="宋体"/>
          <w:sz w:val="24"/>
          <w:szCs w:val="24"/>
        </w:rPr>
        <w:t>联系地址：</w:t>
      </w:r>
    </w:p>
    <w:p w:rsidR="001A645A" w:rsidRDefault="00CE0AA4">
      <w:pPr>
        <w:spacing w:after="160" w:line="480" w:lineRule="auto"/>
        <w:ind w:right="108" w:firstLine="493"/>
        <w:rPr>
          <w:sz w:val="24"/>
          <w:szCs w:val="24"/>
        </w:rPr>
      </w:pPr>
      <w:r>
        <w:rPr>
          <w:rFonts w:eastAsia="宋体" w:hAnsi="宋体"/>
          <w:sz w:val="24"/>
          <w:szCs w:val="24"/>
        </w:rPr>
        <w:t>电话：</w:t>
      </w:r>
    </w:p>
    <w:p w:rsidR="001A645A" w:rsidRDefault="00CE0AA4">
      <w:pPr>
        <w:spacing w:after="160" w:line="480" w:lineRule="auto"/>
        <w:ind w:right="108" w:firstLine="493"/>
        <w:rPr>
          <w:rFonts w:eastAsia="宋体" w:hAnsi="宋体"/>
          <w:sz w:val="24"/>
          <w:szCs w:val="24"/>
        </w:rPr>
      </w:pPr>
      <w:r>
        <w:rPr>
          <w:sz w:val="24"/>
          <w:szCs w:val="24"/>
        </w:rPr>
        <w:t xml:space="preserve">       </w:t>
      </w:r>
      <w:r>
        <w:rPr>
          <w:rFonts w:eastAsia="宋体" w:hAnsi="宋体"/>
          <w:sz w:val="24"/>
          <w:szCs w:val="24"/>
        </w:rPr>
        <w:t>年</w:t>
      </w:r>
      <w:r>
        <w:rPr>
          <w:sz w:val="24"/>
          <w:szCs w:val="24"/>
        </w:rPr>
        <w:t xml:space="preserve">   </w:t>
      </w:r>
      <w:r>
        <w:rPr>
          <w:rFonts w:eastAsia="宋体" w:hAnsi="宋体"/>
          <w:sz w:val="24"/>
          <w:szCs w:val="24"/>
        </w:rPr>
        <w:t>月</w:t>
      </w:r>
      <w:r>
        <w:rPr>
          <w:sz w:val="24"/>
          <w:szCs w:val="24"/>
        </w:rPr>
        <w:t xml:space="preserve">   </w:t>
      </w:r>
      <w:r>
        <w:rPr>
          <w:rFonts w:eastAsia="宋体" w:hAnsi="宋体"/>
          <w:sz w:val="24"/>
          <w:szCs w:val="24"/>
        </w:rPr>
        <w:t>日</w:t>
      </w:r>
    </w:p>
    <w:p w:rsidR="001A645A" w:rsidRDefault="001A645A">
      <w:pPr>
        <w:spacing w:after="160" w:line="480" w:lineRule="auto"/>
        <w:ind w:right="108" w:firstLine="493"/>
        <w:rPr>
          <w:rFonts w:eastAsia="宋体" w:hAnsi="宋体"/>
          <w:sz w:val="24"/>
          <w:szCs w:val="24"/>
        </w:rPr>
      </w:pPr>
    </w:p>
    <w:p w:rsidR="001A645A" w:rsidRDefault="001A645A">
      <w:pPr>
        <w:spacing w:after="160" w:line="480" w:lineRule="auto"/>
        <w:ind w:right="108" w:firstLine="493"/>
        <w:rPr>
          <w:rFonts w:eastAsia="宋体" w:hAnsi="宋体"/>
          <w:sz w:val="24"/>
          <w:szCs w:val="24"/>
        </w:rPr>
      </w:pPr>
    </w:p>
    <w:p w:rsidR="001A645A" w:rsidRDefault="001A645A">
      <w:pPr>
        <w:spacing w:after="160" w:line="480" w:lineRule="auto"/>
        <w:ind w:right="108" w:firstLine="493"/>
        <w:rPr>
          <w:sz w:val="24"/>
          <w:szCs w:val="24"/>
        </w:rPr>
      </w:pPr>
    </w:p>
    <w:sectPr w:rsidR="001A645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D2" w:rsidRDefault="00E53FD2">
      <w:r>
        <w:separator/>
      </w:r>
    </w:p>
  </w:endnote>
  <w:endnote w:type="continuationSeparator" w:id="0">
    <w:p w:rsidR="00E53FD2" w:rsidRDefault="00E5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00"/>
    <w:family w:val="auto"/>
    <w:pitch w:val="variable"/>
    <w:sig w:usb0="00000000" w:usb1="4000207B" w:usb2="00000000" w:usb3="00000000" w:csb0="FFFFFFFF" w:csb1="00000000"/>
  </w:font>
  <w:font w:name="맑은 고딕">
    <w:charset w:val="00"/>
    <w:family w:val="auto"/>
    <w:pitch w:val="variable"/>
    <w:sig w:usb0="A00002EF" w:usb1="4000207B"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5A" w:rsidRDefault="00CE0AA4">
    <w:pPr>
      <w:pStyle w:val="af5"/>
      <w:snapToGrid w:val="0"/>
      <w:spacing w:after="160"/>
      <w:jc w:val="center"/>
    </w:pPr>
    <w:r>
      <w:t xml:space="preserve"> </w:t>
    </w:r>
    <w:r>
      <w:fldChar w:fldCharType="begin"/>
    </w:r>
    <w:r>
      <w:instrText>PAGE  \* MERGEFORMAT</w:instrText>
    </w:r>
    <w:r>
      <w:fldChar w:fldCharType="separate"/>
    </w:r>
    <w:r w:rsidR="00E53FD2" w:rsidRPr="00E53FD2">
      <w:rPr>
        <w:b/>
        <w:noProof/>
      </w:rPr>
      <w:t>1</w:t>
    </w:r>
    <w:r>
      <w:rPr>
        <w:b/>
      </w:rPr>
      <w:fldChar w:fldCharType="end"/>
    </w:r>
    <w:r>
      <w:t xml:space="preserve"> / </w:t>
    </w:r>
    <w:r w:rsidR="00E53FD2">
      <w:fldChar w:fldCharType="begin"/>
    </w:r>
    <w:r w:rsidR="00E53FD2">
      <w:instrText>NUMPAGES  \* MERGEFORMAT</w:instrText>
    </w:r>
    <w:r w:rsidR="00E53FD2">
      <w:fldChar w:fldCharType="separate"/>
    </w:r>
    <w:r w:rsidR="00E53FD2" w:rsidRPr="00E53FD2">
      <w:rPr>
        <w:b/>
        <w:noProof/>
      </w:rPr>
      <w:t>1</w:t>
    </w:r>
    <w:r w:rsidR="00E53FD2">
      <w:rPr>
        <w:b/>
        <w:noProof/>
      </w:rPr>
      <w:fldChar w:fldCharType="end"/>
    </w:r>
  </w:p>
  <w:p w:rsidR="001A645A" w:rsidRDefault="001A645A">
    <w:pPr>
      <w:pStyle w:val="af5"/>
      <w:snapToGrid w:val="0"/>
      <w:spacing w:after="1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D2" w:rsidRDefault="00E53FD2">
      <w:r>
        <w:separator/>
      </w:r>
    </w:p>
  </w:footnote>
  <w:footnote w:type="continuationSeparator" w:id="0">
    <w:p w:rsidR="00E53FD2" w:rsidRDefault="00E53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isplayHorizontalDrawingGridEvery w:val="0"/>
  <w:displayVerticalDrawingGridEvery w:val="2"/>
  <w:characterSpacingControl w:val="compressPunctuation"/>
  <w:noLineBreaksAfter w:lang="ko-KR" w:val="$([{£¥·‘“〈《「『【〔〖〝﹙﹛﹝＄（．［｛￡￥"/>
  <w:noLineBreaksBefore w:lang="ko-KR" w:val="$([{£¥·‘“〈《「『【〔〖〝﹙﹛﹝＄（．［｛￡￥"/>
  <w:savePreviewPicture/>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
  <w:rsids>
    <w:rsidRoot w:val="001A645A"/>
    <w:rsid w:val="001A645A"/>
    <w:rsid w:val="002E7BC3"/>
    <w:rsid w:val="00916970"/>
    <w:rsid w:val="00CE0AA4"/>
    <w:rsid w:val="00E066E7"/>
    <w:rsid w:val="00E53FD2"/>
    <w:rsid w:val="00E80CF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rPr>
      <w:rFonts w:ascii="Times New Roman" w:eastAsia="Times New Roman" w:hAnsi="Times New Roman"/>
      <w:sz w:val="21"/>
      <w:szCs w:val="21"/>
    </w:rPr>
  </w:style>
  <w:style w:type="paragraph" w:styleId="1">
    <w:name w:val="heading 1"/>
    <w:basedOn w:val="a"/>
    <w:next w:val="a"/>
    <w:link w:val="1Char"/>
    <w:uiPriority w:val="7"/>
    <w:qFormat/>
    <w:pPr>
      <w:keepNext/>
      <w:keepLines/>
      <w:ind w:right="50" w:firstLine="236"/>
      <w:outlineLvl w:val="0"/>
    </w:pPr>
    <w:rPr>
      <w:rFonts w:ascii="Calibri" w:eastAsia="Calibri" w:hAnsi="Calibri"/>
      <w:b/>
      <w:sz w:val="44"/>
      <w:szCs w:val="44"/>
    </w:rPr>
  </w:style>
  <w:style w:type="paragraph" w:styleId="2">
    <w:name w:val="heading 2"/>
    <w:uiPriority w:val="8"/>
    <w:qFormat/>
    <w:pPr>
      <w:jc w:val="both"/>
      <w:outlineLvl w:val="1"/>
    </w:pPr>
    <w:rPr>
      <w:sz w:val="21"/>
      <w:szCs w:val="21"/>
    </w:rPr>
  </w:style>
  <w:style w:type="paragraph" w:styleId="3">
    <w:name w:val="heading 3"/>
    <w:uiPriority w:val="9"/>
    <w:qFormat/>
    <w:pPr>
      <w:ind w:left="1000" w:hanging="400"/>
      <w:jc w:val="both"/>
      <w:outlineLvl w:val="2"/>
    </w:pPr>
    <w:rPr>
      <w:sz w:val="21"/>
      <w:szCs w:val="21"/>
    </w:rPr>
  </w:style>
  <w:style w:type="paragraph" w:styleId="4">
    <w:name w:val="heading 4"/>
    <w:uiPriority w:val="10"/>
    <w:qFormat/>
    <w:pPr>
      <w:ind w:left="1200" w:hanging="400"/>
      <w:jc w:val="both"/>
      <w:outlineLvl w:val="3"/>
    </w:pPr>
    <w:rPr>
      <w:b/>
      <w:sz w:val="21"/>
      <w:szCs w:val="21"/>
    </w:rPr>
  </w:style>
  <w:style w:type="paragraph" w:styleId="5">
    <w:name w:val="heading 5"/>
    <w:uiPriority w:val="11"/>
    <w:qFormat/>
    <w:pPr>
      <w:ind w:left="1400" w:hanging="400"/>
      <w:jc w:val="both"/>
      <w:outlineLvl w:val="4"/>
    </w:pPr>
    <w:rPr>
      <w:sz w:val="21"/>
      <w:szCs w:val="21"/>
    </w:rPr>
  </w:style>
  <w:style w:type="paragraph" w:styleId="6">
    <w:name w:val="heading 6"/>
    <w:uiPriority w:val="12"/>
    <w:qFormat/>
    <w:pPr>
      <w:ind w:left="1600" w:hanging="400"/>
      <w:jc w:val="both"/>
      <w:outlineLvl w:val="5"/>
    </w:pPr>
    <w:rPr>
      <w:b/>
      <w:sz w:val="21"/>
      <w:szCs w:val="21"/>
    </w:rPr>
  </w:style>
  <w:style w:type="paragraph" w:styleId="7">
    <w:name w:val="heading 7"/>
    <w:uiPriority w:val="13"/>
    <w:qFormat/>
    <w:pPr>
      <w:ind w:left="1800" w:hanging="400"/>
      <w:jc w:val="both"/>
      <w:outlineLvl w:val="6"/>
    </w:pPr>
    <w:rPr>
      <w:sz w:val="21"/>
      <w:szCs w:val="21"/>
    </w:rPr>
  </w:style>
  <w:style w:type="paragraph" w:styleId="8">
    <w:name w:val="heading 8"/>
    <w:uiPriority w:val="14"/>
    <w:qFormat/>
    <w:pPr>
      <w:ind w:left="2000" w:hanging="400"/>
      <w:jc w:val="both"/>
      <w:outlineLvl w:val="7"/>
    </w:pPr>
    <w:rPr>
      <w:sz w:val="21"/>
      <w:szCs w:val="21"/>
    </w:rPr>
  </w:style>
  <w:style w:type="paragraph" w:styleId="9">
    <w:name w:val="heading 9"/>
    <w:uiPriority w:val="15"/>
    <w:qFormat/>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1"/>
      <w:szCs w:val="21"/>
    </w:rPr>
  </w:style>
  <w:style w:type="paragraph" w:styleId="ab">
    <w:name w:val="Intense Quote"/>
    <w:uiPriority w:val="22"/>
    <w:qFormat/>
    <w:pPr>
      <w:ind w:left="950" w:right="950"/>
      <w:jc w:val="center"/>
    </w:pPr>
    <w:rPr>
      <w:i/>
      <w:color w:val="5B9BD5"/>
      <w:sz w:val="21"/>
      <w:szCs w:val="21"/>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basedOn w:val="a"/>
    <w:uiPriority w:val="26"/>
    <w:qFormat/>
    <w:pPr>
      <w:ind w:right="50" w:firstLine="420"/>
    </w:pPr>
    <w:rPr>
      <w:rFonts w:ascii="Calibri" w:eastAsia="Calibri" w:hAnsi="Calibri"/>
      <w:sz w:val="20"/>
      <w:szCs w:val="20"/>
    </w:rPr>
  </w:style>
  <w:style w:type="paragraph" w:styleId="TOC">
    <w:name w:val="TOC Heading"/>
    <w:uiPriority w:val="27"/>
    <w:unhideWhenUsed/>
    <w:qFormat/>
    <w:rPr>
      <w:color w:val="2E74B5"/>
      <w:sz w:val="32"/>
      <w:szCs w:val="32"/>
    </w:rPr>
  </w:style>
  <w:style w:type="paragraph" w:styleId="10">
    <w:name w:val="toc 1"/>
    <w:basedOn w:val="a"/>
    <w:next w:val="a"/>
    <w:uiPriority w:val="28"/>
    <w:semiHidden/>
    <w:rPr>
      <w:rFonts w:ascii="Calibri" w:eastAsia="Calibri" w:hAnsi="Calibri"/>
      <w:sz w:val="22"/>
      <w:szCs w:val="22"/>
    </w:rPr>
  </w:style>
  <w:style w:type="paragraph" w:styleId="20">
    <w:name w:val="toc 2"/>
    <w:basedOn w:val="a"/>
    <w:next w:val="a"/>
    <w:uiPriority w:val="29"/>
    <w:semiHidden/>
    <w:pPr>
      <w:ind w:left="220"/>
    </w:pPr>
    <w:rPr>
      <w:rFonts w:ascii="Calibri" w:eastAsia="Calibri" w:hAnsi="Calibri"/>
      <w:sz w:val="22"/>
      <w:szCs w:val="22"/>
    </w:rPr>
  </w:style>
  <w:style w:type="paragraph" w:styleId="30">
    <w:name w:val="toc 3"/>
    <w:basedOn w:val="a"/>
    <w:next w:val="a"/>
    <w:uiPriority w:val="30"/>
    <w:semiHidden/>
    <w:qFormat/>
    <w:pPr>
      <w:ind w:left="440"/>
    </w:pPr>
    <w:rPr>
      <w:rFonts w:ascii="Calibri" w:eastAsia="Calibri" w:hAnsi="Calibri"/>
      <w:sz w:val="22"/>
      <w:szCs w:val="22"/>
    </w:rPr>
  </w:style>
  <w:style w:type="paragraph" w:styleId="40">
    <w:name w:val="toc 4"/>
    <w:uiPriority w:val="31"/>
    <w:unhideWhenUsed/>
    <w:qFormat/>
    <w:pPr>
      <w:ind w:left="1275"/>
      <w:jc w:val="both"/>
    </w:pPr>
    <w:rPr>
      <w:sz w:val="21"/>
      <w:szCs w:val="21"/>
    </w:rPr>
  </w:style>
  <w:style w:type="paragraph" w:styleId="50">
    <w:name w:val="toc 5"/>
    <w:uiPriority w:val="32"/>
    <w:unhideWhenUsed/>
    <w:qFormat/>
    <w:pPr>
      <w:ind w:left="1700"/>
      <w:jc w:val="both"/>
    </w:pPr>
    <w:rPr>
      <w:sz w:val="21"/>
      <w:szCs w:val="21"/>
    </w:rPr>
  </w:style>
  <w:style w:type="paragraph" w:styleId="60">
    <w:name w:val="toc 6"/>
    <w:uiPriority w:val="33"/>
    <w:unhideWhenUsed/>
    <w:qFormat/>
    <w:pPr>
      <w:ind w:left="2125"/>
      <w:jc w:val="both"/>
    </w:pPr>
    <w:rPr>
      <w:sz w:val="21"/>
      <w:szCs w:val="21"/>
    </w:rPr>
  </w:style>
  <w:style w:type="paragraph" w:styleId="70">
    <w:name w:val="toc 7"/>
    <w:uiPriority w:val="34"/>
    <w:unhideWhenUsed/>
    <w:qFormat/>
    <w:pPr>
      <w:ind w:left="2550"/>
      <w:jc w:val="both"/>
    </w:pPr>
    <w:rPr>
      <w:sz w:val="21"/>
      <w:szCs w:val="21"/>
    </w:rPr>
  </w:style>
  <w:style w:type="paragraph" w:styleId="80">
    <w:name w:val="toc 8"/>
    <w:uiPriority w:val="35"/>
    <w:unhideWhenUsed/>
    <w:qFormat/>
    <w:pPr>
      <w:ind w:left="2975"/>
      <w:jc w:val="both"/>
    </w:pPr>
    <w:rPr>
      <w:sz w:val="21"/>
      <w:szCs w:val="21"/>
    </w:rPr>
  </w:style>
  <w:style w:type="paragraph" w:styleId="90">
    <w:name w:val="toc 9"/>
    <w:uiPriority w:val="36"/>
    <w:unhideWhenUsed/>
    <w:qFormat/>
    <w:pPr>
      <w:ind w:left="3400"/>
      <w:jc w:val="both"/>
    </w:pPr>
    <w:rPr>
      <w:sz w:val="21"/>
      <w:szCs w:val="21"/>
    </w:rPr>
  </w:style>
  <w:style w:type="paragraph" w:customStyle="1" w:styleId="TOC1">
    <w:name w:val="TOC 标题1"/>
    <w:basedOn w:val="1"/>
    <w:next w:val="a"/>
    <w:qFormat/>
    <w:pPr>
      <w:ind w:firstLine="0"/>
    </w:pPr>
    <w:rPr>
      <w:rFonts w:ascii="Cambria" w:eastAsia="Cambria" w:hAnsi="Cambria"/>
      <w:color w:val="365F91"/>
      <w:sz w:val="28"/>
      <w:szCs w:val="28"/>
    </w:rPr>
  </w:style>
  <w:style w:type="paragraph" w:styleId="af0">
    <w:name w:val="annotation subject"/>
    <w:link w:val="Char"/>
    <w:semiHidden/>
    <w:unhideWhenUsed/>
    <w:rPr>
      <w:rFonts w:ascii="宋体" w:hAnsi="宋体"/>
      <w:b/>
      <w:sz w:val="21"/>
      <w:szCs w:val="21"/>
    </w:rPr>
  </w:style>
  <w:style w:type="paragraph" w:styleId="af1">
    <w:name w:val="annotation text"/>
    <w:basedOn w:val="a"/>
    <w:link w:val="Char0"/>
    <w:semiHidden/>
    <w:rPr>
      <w:rFonts w:ascii="宋体" w:eastAsia="仿宋_GB2312" w:hAnsi="宋体"/>
      <w:sz w:val="30"/>
      <w:szCs w:val="30"/>
    </w:rPr>
  </w:style>
  <w:style w:type="paragraph" w:styleId="af2">
    <w:name w:val="Body Text"/>
    <w:basedOn w:val="a"/>
    <w:link w:val="Char1"/>
    <w:rPr>
      <w:rFonts w:ascii="宋体" w:eastAsia="仿宋_GB2312" w:hAnsi="宋体"/>
      <w:sz w:val="24"/>
      <w:szCs w:val="24"/>
    </w:rPr>
  </w:style>
  <w:style w:type="paragraph" w:styleId="af3">
    <w:name w:val="Body Text Indent"/>
    <w:basedOn w:val="a"/>
    <w:link w:val="Char2"/>
    <w:pPr>
      <w:tabs>
        <w:tab w:val="left" w:pos="720"/>
      </w:tabs>
      <w:ind w:left="360"/>
    </w:pPr>
    <w:rPr>
      <w:rFonts w:ascii="宋体" w:eastAsia="仿宋_GB2312" w:hAnsi="宋体"/>
      <w:sz w:val="24"/>
      <w:szCs w:val="24"/>
    </w:rPr>
  </w:style>
  <w:style w:type="paragraph" w:styleId="af4">
    <w:name w:val="Balloon Text"/>
    <w:basedOn w:val="a"/>
    <w:link w:val="Char3"/>
    <w:semiHidden/>
    <w:unhideWhenUsed/>
    <w:rPr>
      <w:sz w:val="18"/>
      <w:szCs w:val="18"/>
    </w:rPr>
  </w:style>
  <w:style w:type="paragraph" w:styleId="af5">
    <w:name w:val="footer"/>
    <w:basedOn w:val="a"/>
    <w:link w:val="Char4"/>
    <w:pPr>
      <w:tabs>
        <w:tab w:val="center" w:pos="4153"/>
        <w:tab w:val="right" w:pos="8306"/>
      </w:tabs>
    </w:pPr>
    <w:rPr>
      <w:sz w:val="18"/>
      <w:szCs w:val="18"/>
    </w:rPr>
  </w:style>
  <w:style w:type="paragraph" w:styleId="af6">
    <w:name w:val="header"/>
    <w:basedOn w:val="a"/>
    <w:link w:val="Char5"/>
    <w:semiHidden/>
    <w:pPr>
      <w:tabs>
        <w:tab w:val="center" w:pos="4153"/>
        <w:tab w:val="right" w:pos="8306"/>
      </w:tabs>
      <w:jc w:val="center"/>
    </w:pPr>
    <w:rPr>
      <w:sz w:val="18"/>
      <w:szCs w:val="18"/>
    </w:rPr>
  </w:style>
  <w:style w:type="paragraph" w:styleId="21">
    <w:name w:val="Body Text 2"/>
    <w:basedOn w:val="a"/>
    <w:link w:val="2Char"/>
    <w:rPr>
      <w:rFonts w:ascii="宋体" w:eastAsia="宋体" w:hAnsi="宋体"/>
      <w:b/>
      <w:sz w:val="24"/>
      <w:szCs w:val="24"/>
    </w:rPr>
  </w:style>
  <w:style w:type="character" w:styleId="af7">
    <w:name w:val="annotation reference"/>
    <w:semiHidden/>
    <w:unhideWhenUsed/>
    <w:rPr>
      <w:w w:val="100"/>
      <w:sz w:val="21"/>
      <w:szCs w:val="21"/>
      <w:shd w:val="clear" w:color="000000" w:fill="auto"/>
    </w:rPr>
  </w:style>
  <w:style w:type="character" w:customStyle="1" w:styleId="1Char">
    <w:name w:val="标题 1 Char"/>
    <w:link w:val="1"/>
    <w:rPr>
      <w:b/>
      <w:w w:val="100"/>
      <w:sz w:val="44"/>
      <w:szCs w:val="44"/>
      <w:shd w:val="clear" w:color="000000" w:fill="auto"/>
    </w:rPr>
  </w:style>
  <w:style w:type="character" w:customStyle="1" w:styleId="Char2">
    <w:name w:val="正文文本缩进 Char"/>
    <w:link w:val="af3"/>
    <w:rPr>
      <w:rFonts w:ascii="Times New Roman" w:eastAsia="Times New Roman" w:hAnsi="Times New Roman"/>
      <w:w w:val="100"/>
      <w:sz w:val="20"/>
      <w:szCs w:val="20"/>
      <w:shd w:val="clear" w:color="000000" w:fill="auto"/>
    </w:rPr>
  </w:style>
  <w:style w:type="character" w:customStyle="1" w:styleId="Char1">
    <w:name w:val="正文文本 Char"/>
    <w:link w:val="af2"/>
    <w:rPr>
      <w:rFonts w:ascii="Times New Roman" w:eastAsia="Times New Roman" w:hAnsi="Times New Roman"/>
      <w:w w:val="100"/>
      <w:sz w:val="20"/>
      <w:szCs w:val="20"/>
      <w:shd w:val="clear" w:color="000000" w:fill="auto"/>
    </w:rPr>
  </w:style>
  <w:style w:type="character" w:customStyle="1" w:styleId="2Char">
    <w:name w:val="正文文本 2 Char"/>
    <w:link w:val="21"/>
    <w:rPr>
      <w:rFonts w:ascii="宋体" w:eastAsia="宋体" w:hAnsi="宋体"/>
      <w:b/>
      <w:w w:val="100"/>
      <w:sz w:val="20"/>
      <w:szCs w:val="20"/>
      <w:shd w:val="clear" w:color="000000" w:fill="auto"/>
    </w:rPr>
  </w:style>
  <w:style w:type="character" w:customStyle="1" w:styleId="Char0">
    <w:name w:val="批注文字 Char"/>
    <w:link w:val="af1"/>
    <w:semiHidden/>
    <w:rPr>
      <w:rFonts w:ascii="Times New Roman" w:eastAsia="Times New Roman" w:hAnsi="Times New Roman"/>
      <w:w w:val="100"/>
      <w:sz w:val="30"/>
      <w:szCs w:val="30"/>
      <w:shd w:val="clear" w:color="000000" w:fill="auto"/>
    </w:rPr>
  </w:style>
  <w:style w:type="character" w:customStyle="1" w:styleId="Char5">
    <w:name w:val="页眉 Char"/>
    <w:link w:val="af6"/>
    <w:semiHidden/>
    <w:rPr>
      <w:rFonts w:ascii="Times New Roman" w:eastAsia="Times New Roman" w:hAnsi="Times New Roman"/>
      <w:w w:val="100"/>
      <w:sz w:val="18"/>
      <w:szCs w:val="18"/>
      <w:shd w:val="clear" w:color="000000" w:fill="auto"/>
    </w:rPr>
  </w:style>
  <w:style w:type="character" w:customStyle="1" w:styleId="Char4">
    <w:name w:val="页脚 Char"/>
    <w:link w:val="af5"/>
    <w:rPr>
      <w:rFonts w:ascii="Times New Roman" w:eastAsia="Times New Roman" w:hAnsi="Times New Roman"/>
      <w:w w:val="100"/>
      <w:sz w:val="18"/>
      <w:szCs w:val="18"/>
      <w:shd w:val="clear" w:color="000000" w:fill="auto"/>
    </w:rPr>
  </w:style>
  <w:style w:type="character" w:customStyle="1" w:styleId="Char">
    <w:name w:val="批注主题 Char"/>
    <w:link w:val="af0"/>
    <w:semiHidden/>
    <w:rPr>
      <w:rFonts w:ascii="Times New Roman" w:eastAsia="Times New Roman" w:hAnsi="Times New Roman"/>
      <w:b/>
      <w:w w:val="100"/>
      <w:sz w:val="21"/>
      <w:szCs w:val="21"/>
      <w:shd w:val="clear" w:color="000000" w:fill="auto"/>
    </w:rPr>
  </w:style>
  <w:style w:type="character" w:customStyle="1" w:styleId="Char3">
    <w:name w:val="批注框文本 Char"/>
    <w:link w:val="af4"/>
    <w:semiHidden/>
    <w:qFormat/>
    <w:rPr>
      <w:rFonts w:ascii="Times New Roman" w:eastAsia="Times New Roman" w:hAnsi="Times New Roman"/>
      <w:w w:val="100"/>
      <w:sz w:val="18"/>
      <w:szCs w:val="18"/>
      <w:shd w:val="clear" w:color="000000"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rPr>
      <w:rFonts w:ascii="Times New Roman" w:eastAsia="Times New Roman" w:hAnsi="Times New Roman"/>
      <w:sz w:val="21"/>
      <w:szCs w:val="21"/>
    </w:rPr>
  </w:style>
  <w:style w:type="paragraph" w:styleId="1">
    <w:name w:val="heading 1"/>
    <w:basedOn w:val="a"/>
    <w:next w:val="a"/>
    <w:link w:val="1Char"/>
    <w:uiPriority w:val="7"/>
    <w:qFormat/>
    <w:pPr>
      <w:keepNext/>
      <w:keepLines/>
      <w:ind w:right="50" w:firstLine="236"/>
      <w:outlineLvl w:val="0"/>
    </w:pPr>
    <w:rPr>
      <w:rFonts w:ascii="Calibri" w:eastAsia="Calibri" w:hAnsi="Calibri"/>
      <w:b/>
      <w:sz w:val="44"/>
      <w:szCs w:val="44"/>
    </w:rPr>
  </w:style>
  <w:style w:type="paragraph" w:styleId="2">
    <w:name w:val="heading 2"/>
    <w:uiPriority w:val="8"/>
    <w:qFormat/>
    <w:pPr>
      <w:jc w:val="both"/>
      <w:outlineLvl w:val="1"/>
    </w:pPr>
    <w:rPr>
      <w:sz w:val="21"/>
      <w:szCs w:val="21"/>
    </w:rPr>
  </w:style>
  <w:style w:type="paragraph" w:styleId="3">
    <w:name w:val="heading 3"/>
    <w:uiPriority w:val="9"/>
    <w:qFormat/>
    <w:pPr>
      <w:ind w:left="1000" w:hanging="400"/>
      <w:jc w:val="both"/>
      <w:outlineLvl w:val="2"/>
    </w:pPr>
    <w:rPr>
      <w:sz w:val="21"/>
      <w:szCs w:val="21"/>
    </w:rPr>
  </w:style>
  <w:style w:type="paragraph" w:styleId="4">
    <w:name w:val="heading 4"/>
    <w:uiPriority w:val="10"/>
    <w:qFormat/>
    <w:pPr>
      <w:ind w:left="1200" w:hanging="400"/>
      <w:jc w:val="both"/>
      <w:outlineLvl w:val="3"/>
    </w:pPr>
    <w:rPr>
      <w:b/>
      <w:sz w:val="21"/>
      <w:szCs w:val="21"/>
    </w:rPr>
  </w:style>
  <w:style w:type="paragraph" w:styleId="5">
    <w:name w:val="heading 5"/>
    <w:uiPriority w:val="11"/>
    <w:qFormat/>
    <w:pPr>
      <w:ind w:left="1400" w:hanging="400"/>
      <w:jc w:val="both"/>
      <w:outlineLvl w:val="4"/>
    </w:pPr>
    <w:rPr>
      <w:sz w:val="21"/>
      <w:szCs w:val="21"/>
    </w:rPr>
  </w:style>
  <w:style w:type="paragraph" w:styleId="6">
    <w:name w:val="heading 6"/>
    <w:uiPriority w:val="12"/>
    <w:qFormat/>
    <w:pPr>
      <w:ind w:left="1600" w:hanging="400"/>
      <w:jc w:val="both"/>
      <w:outlineLvl w:val="5"/>
    </w:pPr>
    <w:rPr>
      <w:b/>
      <w:sz w:val="21"/>
      <w:szCs w:val="21"/>
    </w:rPr>
  </w:style>
  <w:style w:type="paragraph" w:styleId="7">
    <w:name w:val="heading 7"/>
    <w:uiPriority w:val="13"/>
    <w:qFormat/>
    <w:pPr>
      <w:ind w:left="1800" w:hanging="400"/>
      <w:jc w:val="both"/>
      <w:outlineLvl w:val="6"/>
    </w:pPr>
    <w:rPr>
      <w:sz w:val="21"/>
      <w:szCs w:val="21"/>
    </w:rPr>
  </w:style>
  <w:style w:type="paragraph" w:styleId="8">
    <w:name w:val="heading 8"/>
    <w:uiPriority w:val="14"/>
    <w:qFormat/>
    <w:pPr>
      <w:ind w:left="2000" w:hanging="400"/>
      <w:jc w:val="both"/>
      <w:outlineLvl w:val="7"/>
    </w:pPr>
    <w:rPr>
      <w:sz w:val="21"/>
      <w:szCs w:val="21"/>
    </w:rPr>
  </w:style>
  <w:style w:type="paragraph" w:styleId="9">
    <w:name w:val="heading 9"/>
    <w:uiPriority w:val="15"/>
    <w:qFormat/>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1"/>
      <w:szCs w:val="21"/>
    </w:rPr>
  </w:style>
  <w:style w:type="paragraph" w:styleId="ab">
    <w:name w:val="Intense Quote"/>
    <w:uiPriority w:val="22"/>
    <w:qFormat/>
    <w:pPr>
      <w:ind w:left="950" w:right="950"/>
      <w:jc w:val="center"/>
    </w:pPr>
    <w:rPr>
      <w:i/>
      <w:color w:val="5B9BD5"/>
      <w:sz w:val="21"/>
      <w:szCs w:val="21"/>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basedOn w:val="a"/>
    <w:uiPriority w:val="26"/>
    <w:qFormat/>
    <w:pPr>
      <w:ind w:right="50" w:firstLine="420"/>
    </w:pPr>
    <w:rPr>
      <w:rFonts w:ascii="Calibri" w:eastAsia="Calibri" w:hAnsi="Calibri"/>
      <w:sz w:val="20"/>
      <w:szCs w:val="20"/>
    </w:rPr>
  </w:style>
  <w:style w:type="paragraph" w:styleId="TOC">
    <w:name w:val="TOC Heading"/>
    <w:uiPriority w:val="27"/>
    <w:unhideWhenUsed/>
    <w:qFormat/>
    <w:rPr>
      <w:color w:val="2E74B5"/>
      <w:sz w:val="32"/>
      <w:szCs w:val="32"/>
    </w:rPr>
  </w:style>
  <w:style w:type="paragraph" w:styleId="10">
    <w:name w:val="toc 1"/>
    <w:basedOn w:val="a"/>
    <w:next w:val="a"/>
    <w:uiPriority w:val="28"/>
    <w:semiHidden/>
    <w:rPr>
      <w:rFonts w:ascii="Calibri" w:eastAsia="Calibri" w:hAnsi="Calibri"/>
      <w:sz w:val="22"/>
      <w:szCs w:val="22"/>
    </w:rPr>
  </w:style>
  <w:style w:type="paragraph" w:styleId="20">
    <w:name w:val="toc 2"/>
    <w:basedOn w:val="a"/>
    <w:next w:val="a"/>
    <w:uiPriority w:val="29"/>
    <w:semiHidden/>
    <w:pPr>
      <w:ind w:left="220"/>
    </w:pPr>
    <w:rPr>
      <w:rFonts w:ascii="Calibri" w:eastAsia="Calibri" w:hAnsi="Calibri"/>
      <w:sz w:val="22"/>
      <w:szCs w:val="22"/>
    </w:rPr>
  </w:style>
  <w:style w:type="paragraph" w:styleId="30">
    <w:name w:val="toc 3"/>
    <w:basedOn w:val="a"/>
    <w:next w:val="a"/>
    <w:uiPriority w:val="30"/>
    <w:semiHidden/>
    <w:qFormat/>
    <w:pPr>
      <w:ind w:left="440"/>
    </w:pPr>
    <w:rPr>
      <w:rFonts w:ascii="Calibri" w:eastAsia="Calibri" w:hAnsi="Calibri"/>
      <w:sz w:val="22"/>
      <w:szCs w:val="22"/>
    </w:rPr>
  </w:style>
  <w:style w:type="paragraph" w:styleId="40">
    <w:name w:val="toc 4"/>
    <w:uiPriority w:val="31"/>
    <w:unhideWhenUsed/>
    <w:qFormat/>
    <w:pPr>
      <w:ind w:left="1275"/>
      <w:jc w:val="both"/>
    </w:pPr>
    <w:rPr>
      <w:sz w:val="21"/>
      <w:szCs w:val="21"/>
    </w:rPr>
  </w:style>
  <w:style w:type="paragraph" w:styleId="50">
    <w:name w:val="toc 5"/>
    <w:uiPriority w:val="32"/>
    <w:unhideWhenUsed/>
    <w:qFormat/>
    <w:pPr>
      <w:ind w:left="1700"/>
      <w:jc w:val="both"/>
    </w:pPr>
    <w:rPr>
      <w:sz w:val="21"/>
      <w:szCs w:val="21"/>
    </w:rPr>
  </w:style>
  <w:style w:type="paragraph" w:styleId="60">
    <w:name w:val="toc 6"/>
    <w:uiPriority w:val="33"/>
    <w:unhideWhenUsed/>
    <w:qFormat/>
    <w:pPr>
      <w:ind w:left="2125"/>
      <w:jc w:val="both"/>
    </w:pPr>
    <w:rPr>
      <w:sz w:val="21"/>
      <w:szCs w:val="21"/>
    </w:rPr>
  </w:style>
  <w:style w:type="paragraph" w:styleId="70">
    <w:name w:val="toc 7"/>
    <w:uiPriority w:val="34"/>
    <w:unhideWhenUsed/>
    <w:qFormat/>
    <w:pPr>
      <w:ind w:left="2550"/>
      <w:jc w:val="both"/>
    </w:pPr>
    <w:rPr>
      <w:sz w:val="21"/>
      <w:szCs w:val="21"/>
    </w:rPr>
  </w:style>
  <w:style w:type="paragraph" w:styleId="80">
    <w:name w:val="toc 8"/>
    <w:uiPriority w:val="35"/>
    <w:unhideWhenUsed/>
    <w:qFormat/>
    <w:pPr>
      <w:ind w:left="2975"/>
      <w:jc w:val="both"/>
    </w:pPr>
    <w:rPr>
      <w:sz w:val="21"/>
      <w:szCs w:val="21"/>
    </w:rPr>
  </w:style>
  <w:style w:type="paragraph" w:styleId="90">
    <w:name w:val="toc 9"/>
    <w:uiPriority w:val="36"/>
    <w:unhideWhenUsed/>
    <w:qFormat/>
    <w:pPr>
      <w:ind w:left="3400"/>
      <w:jc w:val="both"/>
    </w:pPr>
    <w:rPr>
      <w:sz w:val="21"/>
      <w:szCs w:val="21"/>
    </w:rPr>
  </w:style>
  <w:style w:type="paragraph" w:customStyle="1" w:styleId="TOC1">
    <w:name w:val="TOC 标题1"/>
    <w:basedOn w:val="1"/>
    <w:next w:val="a"/>
    <w:qFormat/>
    <w:pPr>
      <w:ind w:firstLine="0"/>
    </w:pPr>
    <w:rPr>
      <w:rFonts w:ascii="Cambria" w:eastAsia="Cambria" w:hAnsi="Cambria"/>
      <w:color w:val="365F91"/>
      <w:sz w:val="28"/>
      <w:szCs w:val="28"/>
    </w:rPr>
  </w:style>
  <w:style w:type="paragraph" w:styleId="af0">
    <w:name w:val="annotation subject"/>
    <w:link w:val="Char"/>
    <w:semiHidden/>
    <w:unhideWhenUsed/>
    <w:rPr>
      <w:rFonts w:ascii="宋体" w:hAnsi="宋体"/>
      <w:b/>
      <w:sz w:val="21"/>
      <w:szCs w:val="21"/>
    </w:rPr>
  </w:style>
  <w:style w:type="paragraph" w:styleId="af1">
    <w:name w:val="annotation text"/>
    <w:basedOn w:val="a"/>
    <w:link w:val="Char0"/>
    <w:semiHidden/>
    <w:rPr>
      <w:rFonts w:ascii="宋体" w:eastAsia="仿宋_GB2312" w:hAnsi="宋体"/>
      <w:sz w:val="30"/>
      <w:szCs w:val="30"/>
    </w:rPr>
  </w:style>
  <w:style w:type="paragraph" w:styleId="af2">
    <w:name w:val="Body Text"/>
    <w:basedOn w:val="a"/>
    <w:link w:val="Char1"/>
    <w:rPr>
      <w:rFonts w:ascii="宋体" w:eastAsia="仿宋_GB2312" w:hAnsi="宋体"/>
      <w:sz w:val="24"/>
      <w:szCs w:val="24"/>
    </w:rPr>
  </w:style>
  <w:style w:type="paragraph" w:styleId="af3">
    <w:name w:val="Body Text Indent"/>
    <w:basedOn w:val="a"/>
    <w:link w:val="Char2"/>
    <w:pPr>
      <w:tabs>
        <w:tab w:val="left" w:pos="720"/>
      </w:tabs>
      <w:ind w:left="360"/>
    </w:pPr>
    <w:rPr>
      <w:rFonts w:ascii="宋体" w:eastAsia="仿宋_GB2312" w:hAnsi="宋体"/>
      <w:sz w:val="24"/>
      <w:szCs w:val="24"/>
    </w:rPr>
  </w:style>
  <w:style w:type="paragraph" w:styleId="af4">
    <w:name w:val="Balloon Text"/>
    <w:basedOn w:val="a"/>
    <w:link w:val="Char3"/>
    <w:semiHidden/>
    <w:unhideWhenUsed/>
    <w:rPr>
      <w:sz w:val="18"/>
      <w:szCs w:val="18"/>
    </w:rPr>
  </w:style>
  <w:style w:type="paragraph" w:styleId="af5">
    <w:name w:val="footer"/>
    <w:basedOn w:val="a"/>
    <w:link w:val="Char4"/>
    <w:pPr>
      <w:tabs>
        <w:tab w:val="center" w:pos="4153"/>
        <w:tab w:val="right" w:pos="8306"/>
      </w:tabs>
    </w:pPr>
    <w:rPr>
      <w:sz w:val="18"/>
      <w:szCs w:val="18"/>
    </w:rPr>
  </w:style>
  <w:style w:type="paragraph" w:styleId="af6">
    <w:name w:val="header"/>
    <w:basedOn w:val="a"/>
    <w:link w:val="Char5"/>
    <w:semiHidden/>
    <w:pPr>
      <w:tabs>
        <w:tab w:val="center" w:pos="4153"/>
        <w:tab w:val="right" w:pos="8306"/>
      </w:tabs>
      <w:jc w:val="center"/>
    </w:pPr>
    <w:rPr>
      <w:sz w:val="18"/>
      <w:szCs w:val="18"/>
    </w:rPr>
  </w:style>
  <w:style w:type="paragraph" w:styleId="21">
    <w:name w:val="Body Text 2"/>
    <w:basedOn w:val="a"/>
    <w:link w:val="2Char"/>
    <w:rPr>
      <w:rFonts w:ascii="宋体" w:eastAsia="宋体" w:hAnsi="宋体"/>
      <w:b/>
      <w:sz w:val="24"/>
      <w:szCs w:val="24"/>
    </w:rPr>
  </w:style>
  <w:style w:type="character" w:styleId="af7">
    <w:name w:val="annotation reference"/>
    <w:semiHidden/>
    <w:unhideWhenUsed/>
    <w:rPr>
      <w:w w:val="100"/>
      <w:sz w:val="21"/>
      <w:szCs w:val="21"/>
      <w:shd w:val="clear" w:color="000000" w:fill="auto"/>
    </w:rPr>
  </w:style>
  <w:style w:type="character" w:customStyle="1" w:styleId="1Char">
    <w:name w:val="标题 1 Char"/>
    <w:link w:val="1"/>
    <w:rPr>
      <w:b/>
      <w:w w:val="100"/>
      <w:sz w:val="44"/>
      <w:szCs w:val="44"/>
      <w:shd w:val="clear" w:color="000000" w:fill="auto"/>
    </w:rPr>
  </w:style>
  <w:style w:type="character" w:customStyle="1" w:styleId="Char2">
    <w:name w:val="正文文本缩进 Char"/>
    <w:link w:val="af3"/>
    <w:rPr>
      <w:rFonts w:ascii="Times New Roman" w:eastAsia="Times New Roman" w:hAnsi="Times New Roman"/>
      <w:w w:val="100"/>
      <w:sz w:val="20"/>
      <w:szCs w:val="20"/>
      <w:shd w:val="clear" w:color="000000" w:fill="auto"/>
    </w:rPr>
  </w:style>
  <w:style w:type="character" w:customStyle="1" w:styleId="Char1">
    <w:name w:val="正文文本 Char"/>
    <w:link w:val="af2"/>
    <w:rPr>
      <w:rFonts w:ascii="Times New Roman" w:eastAsia="Times New Roman" w:hAnsi="Times New Roman"/>
      <w:w w:val="100"/>
      <w:sz w:val="20"/>
      <w:szCs w:val="20"/>
      <w:shd w:val="clear" w:color="000000" w:fill="auto"/>
    </w:rPr>
  </w:style>
  <w:style w:type="character" w:customStyle="1" w:styleId="2Char">
    <w:name w:val="正文文本 2 Char"/>
    <w:link w:val="21"/>
    <w:rPr>
      <w:rFonts w:ascii="宋体" w:eastAsia="宋体" w:hAnsi="宋体"/>
      <w:b/>
      <w:w w:val="100"/>
      <w:sz w:val="20"/>
      <w:szCs w:val="20"/>
      <w:shd w:val="clear" w:color="000000" w:fill="auto"/>
    </w:rPr>
  </w:style>
  <w:style w:type="character" w:customStyle="1" w:styleId="Char0">
    <w:name w:val="批注文字 Char"/>
    <w:link w:val="af1"/>
    <w:semiHidden/>
    <w:rPr>
      <w:rFonts w:ascii="Times New Roman" w:eastAsia="Times New Roman" w:hAnsi="Times New Roman"/>
      <w:w w:val="100"/>
      <w:sz w:val="30"/>
      <w:szCs w:val="30"/>
      <w:shd w:val="clear" w:color="000000" w:fill="auto"/>
    </w:rPr>
  </w:style>
  <w:style w:type="character" w:customStyle="1" w:styleId="Char5">
    <w:name w:val="页眉 Char"/>
    <w:link w:val="af6"/>
    <w:semiHidden/>
    <w:rPr>
      <w:rFonts w:ascii="Times New Roman" w:eastAsia="Times New Roman" w:hAnsi="Times New Roman"/>
      <w:w w:val="100"/>
      <w:sz w:val="18"/>
      <w:szCs w:val="18"/>
      <w:shd w:val="clear" w:color="000000" w:fill="auto"/>
    </w:rPr>
  </w:style>
  <w:style w:type="character" w:customStyle="1" w:styleId="Char4">
    <w:name w:val="页脚 Char"/>
    <w:link w:val="af5"/>
    <w:rPr>
      <w:rFonts w:ascii="Times New Roman" w:eastAsia="Times New Roman" w:hAnsi="Times New Roman"/>
      <w:w w:val="100"/>
      <w:sz w:val="18"/>
      <w:szCs w:val="18"/>
      <w:shd w:val="clear" w:color="000000" w:fill="auto"/>
    </w:rPr>
  </w:style>
  <w:style w:type="character" w:customStyle="1" w:styleId="Char">
    <w:name w:val="批注主题 Char"/>
    <w:link w:val="af0"/>
    <w:semiHidden/>
    <w:rPr>
      <w:rFonts w:ascii="Times New Roman" w:eastAsia="Times New Roman" w:hAnsi="Times New Roman"/>
      <w:b/>
      <w:w w:val="100"/>
      <w:sz w:val="21"/>
      <w:szCs w:val="21"/>
      <w:shd w:val="clear" w:color="000000" w:fill="auto"/>
    </w:rPr>
  </w:style>
  <w:style w:type="character" w:customStyle="1" w:styleId="Char3">
    <w:name w:val="批注框文本 Char"/>
    <w:link w:val="af4"/>
    <w:semiHidden/>
    <w:qFormat/>
    <w:rPr>
      <w:rFonts w:ascii="Times New Roman" w:eastAsia="Times New Roman" w:hAnsi="Times New Roman"/>
      <w:w w:val="100"/>
      <w:sz w:val="18"/>
      <w:szCs w:val="18"/>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602</Words>
  <Characters>3437</Characters>
  <Application>Microsoft Office Word</Application>
  <DocSecurity>0</DocSecurity>
  <Lines>28</Lines>
  <Paragraphs>8</Paragraphs>
  <MMClips>0</MMClips>
  <ScaleCrop>false</ScaleCrop>
  <HeadingPairs>
    <vt:vector size="4" baseType="variant">
      <vt:variant>
        <vt:lpstr>제목</vt:lpstr>
      </vt:variant>
      <vt:variant>
        <vt:i4>1</vt:i4>
      </vt:variant>
      <vt:variant>
        <vt:lpstr>标题</vt:lpstr>
      </vt:variant>
      <vt:variant>
        <vt:i4>12</vt:i4>
      </vt:variant>
    </vt:vector>
  </HeadingPairs>
  <TitlesOfParts>
    <vt:vector size="13" baseType="lpstr">
      <vt:lpstr>Title text</vt:lpstr>
      <vt:lpstr>（一） 甲方</vt:lpstr>
      <vt:lpstr>1.甲方应当对其（包括其指定的不动产权利人、此次经济行为相关方）提供的权属证明、财务会计信息和其他资料的真实性、完整性和合法性负责，按合同约定及时提供。</vt:lpstr>
      <vt:lpstr>2.甲方（包括其指定的不动产权利人、此次经济行为相关方）有责任配合乙方到有关部门查阅、抄录有关估价对象的资料；在乙方现场勘查及权属文件资料核查和验证工作时，应指</vt:lpstr>
      <vt:lpstr>3.甲方自接到乙方提交的《不动产估价报告书》之日起五个工作日内，如对估价结果产生异议，且理由正当，可要求乙方复估或重估。</vt:lpstr>
      <vt:lpstr>4.甲方不得要求乙方出具虚假评估报告或者有其他非法干预评估结果情形。</vt:lpstr>
      <vt:lpstr>5. 甲方有义务正确、恰当地使用《不动产估价报告书》。</vt:lpstr>
      <vt:lpstr>（二） 乙方	</vt:lpstr>
      <vt:lpstr>1.乙方有权要求甲方提供与估价对象相关的权属证明、财务会计信息和其他资料，以及为执行公允的评估程序所需的必要协助。乙方提交虚假发票，甲方有权解除合同。乙方提交的</vt:lpstr>
      <vt:lpstr>2.乙方应独立、客观、公正从事估价业务；认真执行法律和行政法规，对出具《不动产报告书》承担相应的法律责任。</vt:lpstr>
      <vt:lpstr>3.乙方应对收到的甲方所提供的有关估价对象的资料妥善保管并负保密之责，非经甲方同意不得擅自公开或泄露给他人。</vt:lpstr>
      <vt:lpstr>4.乙方应对甲方复估或重估书面申请后十个工作日内完成估价对象的复估或重估报告书，交付甲方。</vt:lpstr>
      <vt:lpstr>5.乙方的通讯地址为：北京市朝阳区裕民路12号中国国际科技会展中心B座1001号，电子邮箱地址： 13701191625@163.com  ，联系人:  王鹏 </vt:lpstr>
    </vt:vector>
  </TitlesOfParts>
  <Company>CHINA</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6</cp:revision>
  <cp:lastPrinted>2018-07-30T02:26:00Z</cp:lastPrinted>
  <dcterms:created xsi:type="dcterms:W3CDTF">2018-07-30T02:12:00Z</dcterms:created>
  <dcterms:modified xsi:type="dcterms:W3CDTF">2018-10-18T02:04:00Z</dcterms:modified>
</cp:coreProperties>
</file>